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0C" w:rsidRDefault="007A2A0C" w:rsidP="007A2A0C">
      <w:pPr>
        <w:jc w:val="right"/>
        <w:rPr>
          <w:b/>
        </w:rPr>
      </w:pPr>
      <w:r>
        <w:rPr>
          <w:b/>
          <w:noProof/>
          <w:lang w:eastAsia="en-GB"/>
        </w:rPr>
        <w:drawing>
          <wp:inline distT="0" distB="0" distL="0" distR="0" wp14:anchorId="4D6C3B53">
            <wp:extent cx="2133600" cy="2859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859405"/>
                    </a:xfrm>
                    <a:prstGeom prst="rect">
                      <a:avLst/>
                    </a:prstGeom>
                    <a:noFill/>
                  </pic:spPr>
                </pic:pic>
              </a:graphicData>
            </a:graphic>
          </wp:inline>
        </w:drawing>
      </w:r>
    </w:p>
    <w:p w:rsidR="007A2A0C" w:rsidRDefault="007A2A0C" w:rsidP="00E33BF5">
      <w:pPr>
        <w:jc w:val="center"/>
        <w:rPr>
          <w:b/>
        </w:rPr>
      </w:pPr>
    </w:p>
    <w:p w:rsidR="007A2A0C" w:rsidRDefault="007A2A0C" w:rsidP="00E33BF5">
      <w:pPr>
        <w:jc w:val="center"/>
        <w:rPr>
          <w:b/>
        </w:rPr>
      </w:pPr>
    </w:p>
    <w:p w:rsidR="007A2A0C" w:rsidRDefault="007A2A0C" w:rsidP="00E33BF5">
      <w:pPr>
        <w:jc w:val="center"/>
        <w:rPr>
          <w:b/>
        </w:rPr>
      </w:pPr>
    </w:p>
    <w:p w:rsidR="007A2A0C" w:rsidRDefault="007A2A0C" w:rsidP="00E33BF5">
      <w:pPr>
        <w:jc w:val="center"/>
        <w:rPr>
          <w:b/>
        </w:rPr>
      </w:pPr>
    </w:p>
    <w:p w:rsidR="007A2A0C" w:rsidRDefault="007A2A0C" w:rsidP="00E33BF5">
      <w:pPr>
        <w:jc w:val="center"/>
        <w:rPr>
          <w:b/>
        </w:rPr>
      </w:pPr>
    </w:p>
    <w:p w:rsidR="007A2A0C" w:rsidRDefault="007A2A0C" w:rsidP="00E33BF5">
      <w:pPr>
        <w:jc w:val="center"/>
        <w:rPr>
          <w:b/>
        </w:rPr>
      </w:pPr>
    </w:p>
    <w:p w:rsidR="007A2A0C" w:rsidRDefault="00E33BF5" w:rsidP="00E33BF5">
      <w:pPr>
        <w:jc w:val="center"/>
        <w:rPr>
          <w:b/>
          <w:sz w:val="72"/>
          <w:szCs w:val="72"/>
        </w:rPr>
      </w:pPr>
      <w:r w:rsidRPr="007A2A0C">
        <w:rPr>
          <w:b/>
          <w:sz w:val="72"/>
          <w:szCs w:val="72"/>
        </w:rPr>
        <w:t>Financial Inclusion Strategy</w:t>
      </w:r>
      <w:r w:rsidR="00AD623D" w:rsidRPr="007A2A0C">
        <w:rPr>
          <w:b/>
          <w:sz w:val="72"/>
          <w:szCs w:val="72"/>
        </w:rPr>
        <w:t xml:space="preserve"> </w:t>
      </w:r>
    </w:p>
    <w:p w:rsidR="00361E07" w:rsidRPr="007A2A0C" w:rsidRDefault="00AD623D" w:rsidP="00E33BF5">
      <w:pPr>
        <w:jc w:val="center"/>
        <w:rPr>
          <w:b/>
          <w:sz w:val="48"/>
          <w:szCs w:val="48"/>
        </w:rPr>
      </w:pPr>
      <w:r w:rsidRPr="007A2A0C">
        <w:rPr>
          <w:b/>
          <w:sz w:val="48"/>
          <w:szCs w:val="48"/>
        </w:rPr>
        <w:t>2017-2021</w:t>
      </w:r>
    </w:p>
    <w:p w:rsidR="007A2A0C" w:rsidRDefault="007A2A0C">
      <w:pPr>
        <w:rPr>
          <w:b/>
        </w:rPr>
      </w:pPr>
      <w:r>
        <w:rPr>
          <w:b/>
        </w:rPr>
        <w:br w:type="page"/>
      </w:r>
    </w:p>
    <w:p w:rsidR="007A2A0C" w:rsidRPr="007A2A0C" w:rsidRDefault="007A2A0C" w:rsidP="007A2A0C">
      <w:pPr>
        <w:spacing w:after="0" w:line="240" w:lineRule="auto"/>
        <w:jc w:val="center"/>
        <w:rPr>
          <w:rFonts w:eastAsia="Times New Roman"/>
          <w:b/>
          <w:sz w:val="32"/>
          <w:szCs w:val="32"/>
        </w:rPr>
      </w:pPr>
      <w:r w:rsidRPr="007A2A0C">
        <w:rPr>
          <w:rFonts w:eastAsia="Times New Roman"/>
          <w:b/>
          <w:sz w:val="32"/>
          <w:szCs w:val="32"/>
        </w:rPr>
        <w:lastRenderedPageBreak/>
        <w:t>Index</w:t>
      </w:r>
    </w:p>
    <w:p w:rsidR="007A2A0C" w:rsidRPr="007A2A0C" w:rsidRDefault="007A2A0C" w:rsidP="007A2A0C">
      <w:pPr>
        <w:spacing w:after="0" w:line="240" w:lineRule="auto"/>
        <w:rPr>
          <w:rFonts w:eastAsia="Times New Roman"/>
          <w:b/>
          <w:color w:val="000080"/>
          <w:sz w:val="32"/>
          <w:szCs w:val="32"/>
        </w:rPr>
      </w:pPr>
    </w:p>
    <w:p w:rsidR="007A2A0C" w:rsidRPr="007A2A0C" w:rsidRDefault="007A2A0C" w:rsidP="007A2A0C">
      <w:pPr>
        <w:spacing w:after="0" w:line="240" w:lineRule="auto"/>
        <w:rPr>
          <w:rFonts w:eastAsia="Times New Roman"/>
          <w:b/>
          <w:color w:val="000080"/>
          <w:sz w:val="32"/>
          <w:szCs w:val="32"/>
        </w:rPr>
      </w:pPr>
    </w:p>
    <w:tbl>
      <w:tblPr>
        <w:tblW w:w="0" w:type="auto"/>
        <w:tblLook w:val="0000" w:firstRow="0" w:lastRow="0" w:firstColumn="0" w:lastColumn="0" w:noHBand="0" w:noVBand="0"/>
      </w:tblPr>
      <w:tblGrid>
        <w:gridCol w:w="1356"/>
        <w:gridCol w:w="6480"/>
        <w:gridCol w:w="1406"/>
      </w:tblGrid>
      <w:tr w:rsidR="007A2A0C" w:rsidRPr="007A2A0C" w:rsidTr="007A2A0C">
        <w:tc>
          <w:tcPr>
            <w:tcW w:w="1372" w:type="dxa"/>
          </w:tcPr>
          <w:p w:rsidR="007A2A0C" w:rsidRPr="007A2A0C" w:rsidRDefault="007A2A0C" w:rsidP="007A2A0C">
            <w:pPr>
              <w:spacing w:after="0" w:line="240" w:lineRule="auto"/>
              <w:jc w:val="center"/>
              <w:rPr>
                <w:rFonts w:eastAsia="Times New Roman"/>
                <w:b/>
                <w:u w:val="single"/>
              </w:rPr>
            </w:pPr>
            <w:r w:rsidRPr="007A2A0C">
              <w:rPr>
                <w:rFonts w:eastAsia="Times New Roman"/>
                <w:b/>
                <w:u w:val="single"/>
              </w:rPr>
              <w:t>Section</w:t>
            </w:r>
          </w:p>
        </w:tc>
        <w:tc>
          <w:tcPr>
            <w:tcW w:w="6836" w:type="dxa"/>
          </w:tcPr>
          <w:p w:rsidR="007A2A0C" w:rsidRPr="007A2A0C" w:rsidRDefault="007A2A0C" w:rsidP="007A2A0C">
            <w:pPr>
              <w:spacing w:after="0" w:line="240" w:lineRule="auto"/>
              <w:rPr>
                <w:rFonts w:eastAsia="Times New Roman"/>
                <w:b/>
                <w:u w:val="single"/>
              </w:rPr>
            </w:pPr>
            <w:r w:rsidRPr="007A2A0C">
              <w:rPr>
                <w:rFonts w:eastAsia="Times New Roman"/>
                <w:b/>
                <w:u w:val="single"/>
              </w:rPr>
              <w:t>Description</w:t>
            </w:r>
          </w:p>
          <w:p w:rsidR="007A2A0C" w:rsidRPr="007A2A0C" w:rsidRDefault="007A2A0C" w:rsidP="007A2A0C">
            <w:pPr>
              <w:spacing w:after="0" w:line="240" w:lineRule="auto"/>
              <w:rPr>
                <w:rFonts w:eastAsia="Times New Roman"/>
                <w:b/>
                <w:u w:val="single"/>
              </w:rPr>
            </w:pPr>
          </w:p>
        </w:tc>
        <w:tc>
          <w:tcPr>
            <w:tcW w:w="1454" w:type="dxa"/>
          </w:tcPr>
          <w:p w:rsidR="007A2A0C" w:rsidRPr="007A2A0C" w:rsidRDefault="007A2A0C" w:rsidP="007A2A0C">
            <w:pPr>
              <w:spacing w:after="0" w:line="240" w:lineRule="auto"/>
              <w:jc w:val="center"/>
              <w:rPr>
                <w:rFonts w:eastAsia="Times New Roman"/>
                <w:b/>
                <w:u w:val="single"/>
              </w:rPr>
            </w:pPr>
            <w:r w:rsidRPr="007A2A0C">
              <w:rPr>
                <w:rFonts w:eastAsia="Times New Roman"/>
                <w:b/>
                <w:u w:val="single"/>
              </w:rPr>
              <w:t>Page No.</w:t>
            </w:r>
          </w:p>
        </w:tc>
      </w:tr>
      <w:tr w:rsidR="007A2A0C" w:rsidRPr="007A2A0C" w:rsidTr="007A2A0C">
        <w:tc>
          <w:tcPr>
            <w:tcW w:w="1372" w:type="dxa"/>
          </w:tcPr>
          <w:p w:rsidR="007A2A0C" w:rsidRPr="007A2A0C" w:rsidRDefault="007A2A0C" w:rsidP="007A2A0C">
            <w:pPr>
              <w:spacing w:after="0" w:line="240" w:lineRule="auto"/>
              <w:jc w:val="center"/>
              <w:rPr>
                <w:rFonts w:eastAsia="Times New Roman"/>
                <w:bCs/>
              </w:rPr>
            </w:pPr>
            <w:r w:rsidRPr="007A2A0C">
              <w:rPr>
                <w:rFonts w:eastAsia="Times New Roman"/>
                <w:bCs/>
              </w:rPr>
              <w:t>1</w:t>
            </w:r>
          </w:p>
          <w:p w:rsidR="007A2A0C" w:rsidRPr="007A2A0C" w:rsidRDefault="007A2A0C" w:rsidP="007A2A0C">
            <w:pPr>
              <w:spacing w:after="0" w:line="240" w:lineRule="auto"/>
              <w:jc w:val="center"/>
              <w:rPr>
                <w:rFonts w:eastAsia="Times New Roman"/>
                <w:bCs/>
              </w:rPr>
            </w:pPr>
          </w:p>
          <w:p w:rsidR="007A2A0C" w:rsidRPr="007A2A0C" w:rsidRDefault="007A2A0C" w:rsidP="007A2A0C">
            <w:pPr>
              <w:spacing w:after="0" w:line="240" w:lineRule="auto"/>
              <w:jc w:val="center"/>
              <w:rPr>
                <w:rFonts w:eastAsia="Times New Roman"/>
                <w:bCs/>
              </w:rPr>
            </w:pPr>
            <w:r w:rsidRPr="007A2A0C">
              <w:rPr>
                <w:rFonts w:eastAsia="Times New Roman"/>
                <w:bCs/>
              </w:rPr>
              <w:t>2</w:t>
            </w:r>
          </w:p>
          <w:p w:rsidR="007A2A0C" w:rsidRPr="007A2A0C" w:rsidRDefault="007A2A0C" w:rsidP="007A2A0C">
            <w:pPr>
              <w:spacing w:after="0" w:line="240" w:lineRule="auto"/>
              <w:jc w:val="center"/>
              <w:rPr>
                <w:rFonts w:eastAsia="Times New Roman"/>
                <w:bCs/>
              </w:rPr>
            </w:pPr>
          </w:p>
          <w:p w:rsidR="007A2A0C" w:rsidRPr="007A2A0C" w:rsidRDefault="007A2A0C" w:rsidP="007A2A0C">
            <w:pPr>
              <w:spacing w:after="0" w:line="240" w:lineRule="auto"/>
              <w:jc w:val="center"/>
              <w:rPr>
                <w:rFonts w:eastAsia="Times New Roman"/>
                <w:bCs/>
              </w:rPr>
            </w:pPr>
            <w:r w:rsidRPr="007A2A0C">
              <w:rPr>
                <w:rFonts w:eastAsia="Times New Roman"/>
                <w:bCs/>
              </w:rPr>
              <w:t>3</w:t>
            </w:r>
          </w:p>
        </w:tc>
        <w:tc>
          <w:tcPr>
            <w:tcW w:w="6836" w:type="dxa"/>
          </w:tcPr>
          <w:p w:rsidR="007A2A0C" w:rsidRPr="007A2A0C" w:rsidRDefault="007A2A0C" w:rsidP="007A2A0C">
            <w:pPr>
              <w:spacing w:after="0" w:line="240" w:lineRule="auto"/>
              <w:rPr>
                <w:rFonts w:eastAsia="Times New Roman"/>
                <w:bCs/>
              </w:rPr>
            </w:pPr>
            <w:r w:rsidRPr="007A2A0C">
              <w:rPr>
                <w:rFonts w:eastAsia="Times New Roman"/>
                <w:bCs/>
              </w:rPr>
              <w:t>Introduction</w:t>
            </w:r>
          </w:p>
          <w:p w:rsidR="007A2A0C" w:rsidRPr="007A2A0C" w:rsidRDefault="007A2A0C" w:rsidP="007A2A0C">
            <w:pPr>
              <w:spacing w:after="0" w:line="240" w:lineRule="auto"/>
              <w:rPr>
                <w:rFonts w:eastAsia="Times New Roman"/>
                <w:bCs/>
              </w:rPr>
            </w:pPr>
          </w:p>
          <w:p w:rsidR="007A2A0C" w:rsidRPr="007A2A0C" w:rsidRDefault="008C69DE" w:rsidP="007A2A0C">
            <w:pPr>
              <w:spacing w:after="0" w:line="240" w:lineRule="auto"/>
              <w:rPr>
                <w:rFonts w:eastAsia="Times New Roman"/>
                <w:bCs/>
              </w:rPr>
            </w:pPr>
            <w:r>
              <w:rPr>
                <w:rFonts w:eastAsia="Times New Roman"/>
                <w:bCs/>
              </w:rPr>
              <w:t>What is Financial Inclusion</w:t>
            </w:r>
          </w:p>
          <w:p w:rsidR="007A2A0C" w:rsidRPr="007A2A0C" w:rsidRDefault="007A2A0C" w:rsidP="007A2A0C">
            <w:pPr>
              <w:spacing w:after="0" w:line="240" w:lineRule="auto"/>
              <w:rPr>
                <w:rFonts w:eastAsia="Times New Roman"/>
                <w:bCs/>
              </w:rPr>
            </w:pPr>
          </w:p>
          <w:p w:rsidR="007A2A0C" w:rsidRPr="007A2A0C" w:rsidRDefault="008C69DE" w:rsidP="007A2A0C">
            <w:pPr>
              <w:spacing w:after="0" w:line="240" w:lineRule="auto"/>
              <w:rPr>
                <w:rFonts w:eastAsia="Times New Roman"/>
                <w:bCs/>
              </w:rPr>
            </w:pPr>
            <w:r>
              <w:rPr>
                <w:rFonts w:eastAsia="Times New Roman"/>
                <w:bCs/>
              </w:rPr>
              <w:t>Context</w:t>
            </w:r>
          </w:p>
          <w:p w:rsidR="007A2A0C" w:rsidRPr="007A2A0C" w:rsidRDefault="007A2A0C" w:rsidP="007A2A0C">
            <w:pPr>
              <w:spacing w:after="0" w:line="240" w:lineRule="auto"/>
              <w:rPr>
                <w:rFonts w:eastAsia="Times New Roman"/>
                <w:bCs/>
              </w:rPr>
            </w:pPr>
          </w:p>
        </w:tc>
        <w:tc>
          <w:tcPr>
            <w:tcW w:w="1454" w:type="dxa"/>
          </w:tcPr>
          <w:p w:rsidR="007A2A0C" w:rsidRPr="007A2A0C" w:rsidRDefault="007A2A0C" w:rsidP="007A2A0C">
            <w:pPr>
              <w:spacing w:after="0" w:line="240" w:lineRule="auto"/>
              <w:jc w:val="center"/>
              <w:rPr>
                <w:rFonts w:eastAsia="Times New Roman"/>
                <w:bCs/>
              </w:rPr>
            </w:pPr>
            <w:r w:rsidRPr="007A2A0C">
              <w:rPr>
                <w:rFonts w:eastAsia="Times New Roman"/>
                <w:bCs/>
              </w:rPr>
              <w:t>3</w:t>
            </w:r>
          </w:p>
          <w:p w:rsidR="007A2A0C" w:rsidRPr="007A2A0C" w:rsidRDefault="007A2A0C" w:rsidP="007A2A0C">
            <w:pPr>
              <w:spacing w:after="0" w:line="240" w:lineRule="auto"/>
              <w:rPr>
                <w:rFonts w:eastAsia="Times New Roman"/>
              </w:rPr>
            </w:pPr>
          </w:p>
          <w:p w:rsidR="007A2A0C" w:rsidRPr="007A2A0C" w:rsidRDefault="007A2A0C" w:rsidP="007A2A0C">
            <w:pPr>
              <w:spacing w:after="0" w:line="240" w:lineRule="auto"/>
              <w:jc w:val="center"/>
              <w:rPr>
                <w:rFonts w:eastAsia="Times New Roman"/>
              </w:rPr>
            </w:pPr>
            <w:r w:rsidRPr="007A2A0C">
              <w:rPr>
                <w:rFonts w:eastAsia="Times New Roman"/>
              </w:rPr>
              <w:t>3</w:t>
            </w:r>
          </w:p>
          <w:p w:rsidR="007A2A0C" w:rsidRPr="007A2A0C" w:rsidRDefault="007A2A0C" w:rsidP="007A2A0C">
            <w:pPr>
              <w:spacing w:after="0" w:line="240" w:lineRule="auto"/>
              <w:rPr>
                <w:rFonts w:eastAsia="Times New Roman"/>
              </w:rPr>
            </w:pPr>
          </w:p>
          <w:p w:rsidR="007A2A0C" w:rsidRPr="007A2A0C" w:rsidRDefault="008C69DE" w:rsidP="007A2A0C">
            <w:pPr>
              <w:spacing w:after="0" w:line="240" w:lineRule="auto"/>
              <w:jc w:val="center"/>
              <w:rPr>
                <w:rFonts w:eastAsia="Times New Roman"/>
              </w:rPr>
            </w:pPr>
            <w:r>
              <w:rPr>
                <w:rFonts w:eastAsia="Times New Roman"/>
              </w:rPr>
              <w:t>4</w:t>
            </w:r>
          </w:p>
        </w:tc>
      </w:tr>
      <w:tr w:rsidR="007A2A0C" w:rsidRPr="007A2A0C" w:rsidTr="007A2A0C">
        <w:tc>
          <w:tcPr>
            <w:tcW w:w="1372" w:type="dxa"/>
          </w:tcPr>
          <w:p w:rsidR="007A2A0C" w:rsidRPr="007A2A0C" w:rsidRDefault="007A2A0C" w:rsidP="007A2A0C">
            <w:pPr>
              <w:spacing w:after="0" w:line="240" w:lineRule="auto"/>
              <w:jc w:val="center"/>
              <w:rPr>
                <w:rFonts w:eastAsia="Times New Roman"/>
                <w:bCs/>
              </w:rPr>
            </w:pPr>
            <w:r w:rsidRPr="007A2A0C">
              <w:rPr>
                <w:rFonts w:eastAsia="Times New Roman"/>
                <w:bCs/>
              </w:rPr>
              <w:t>4</w:t>
            </w:r>
          </w:p>
        </w:tc>
        <w:tc>
          <w:tcPr>
            <w:tcW w:w="6836" w:type="dxa"/>
          </w:tcPr>
          <w:p w:rsidR="007A2A0C" w:rsidRPr="007A2A0C" w:rsidRDefault="008C69DE" w:rsidP="007A2A0C">
            <w:pPr>
              <w:spacing w:after="0" w:line="240" w:lineRule="auto"/>
              <w:rPr>
                <w:rFonts w:eastAsia="Times New Roman"/>
                <w:bCs/>
              </w:rPr>
            </w:pPr>
            <w:r>
              <w:rPr>
                <w:rFonts w:eastAsia="Times New Roman"/>
                <w:bCs/>
              </w:rPr>
              <w:t>Themes</w:t>
            </w:r>
          </w:p>
          <w:p w:rsidR="007A2A0C" w:rsidRPr="007A2A0C" w:rsidRDefault="007A2A0C" w:rsidP="007A2A0C">
            <w:pPr>
              <w:spacing w:after="0" w:line="240" w:lineRule="auto"/>
              <w:rPr>
                <w:rFonts w:eastAsia="Times New Roman"/>
                <w:bCs/>
              </w:rPr>
            </w:pPr>
          </w:p>
        </w:tc>
        <w:tc>
          <w:tcPr>
            <w:tcW w:w="1454" w:type="dxa"/>
          </w:tcPr>
          <w:p w:rsidR="007A2A0C" w:rsidRPr="007A2A0C" w:rsidRDefault="007A2A0C" w:rsidP="007A2A0C">
            <w:pPr>
              <w:spacing w:after="0" w:line="240" w:lineRule="auto"/>
              <w:jc w:val="center"/>
              <w:rPr>
                <w:rFonts w:eastAsia="Times New Roman"/>
                <w:bCs/>
              </w:rPr>
            </w:pPr>
            <w:r w:rsidRPr="007A2A0C">
              <w:rPr>
                <w:rFonts w:eastAsia="Times New Roman"/>
                <w:bCs/>
              </w:rPr>
              <w:t>6</w:t>
            </w:r>
          </w:p>
        </w:tc>
      </w:tr>
      <w:tr w:rsidR="007A2A0C" w:rsidRPr="007A2A0C" w:rsidTr="007A2A0C">
        <w:tc>
          <w:tcPr>
            <w:tcW w:w="1372" w:type="dxa"/>
          </w:tcPr>
          <w:p w:rsidR="007A2A0C" w:rsidRDefault="007A2A0C" w:rsidP="007A2A0C">
            <w:pPr>
              <w:spacing w:after="0" w:line="240" w:lineRule="auto"/>
              <w:jc w:val="center"/>
              <w:rPr>
                <w:rFonts w:eastAsia="Times New Roman"/>
                <w:bCs/>
              </w:rPr>
            </w:pPr>
            <w:r w:rsidRPr="007A2A0C">
              <w:rPr>
                <w:rFonts w:eastAsia="Times New Roman"/>
                <w:bCs/>
              </w:rPr>
              <w:t>5</w:t>
            </w:r>
          </w:p>
          <w:p w:rsidR="008C69DE" w:rsidRDefault="008C69DE" w:rsidP="007A2A0C">
            <w:pPr>
              <w:spacing w:after="0" w:line="240" w:lineRule="auto"/>
              <w:jc w:val="center"/>
              <w:rPr>
                <w:rFonts w:eastAsia="Times New Roman"/>
                <w:bCs/>
              </w:rPr>
            </w:pPr>
          </w:p>
          <w:p w:rsidR="008C69DE" w:rsidRDefault="008C69DE" w:rsidP="007A2A0C">
            <w:pPr>
              <w:spacing w:after="0" w:line="240" w:lineRule="auto"/>
              <w:jc w:val="center"/>
              <w:rPr>
                <w:rFonts w:eastAsia="Times New Roman"/>
                <w:bCs/>
              </w:rPr>
            </w:pPr>
            <w:r>
              <w:rPr>
                <w:rFonts w:eastAsia="Times New Roman"/>
                <w:bCs/>
              </w:rPr>
              <w:t>Appendix 1</w:t>
            </w:r>
          </w:p>
          <w:p w:rsidR="008C69DE" w:rsidRDefault="008C69DE" w:rsidP="007A2A0C">
            <w:pPr>
              <w:spacing w:after="0" w:line="240" w:lineRule="auto"/>
              <w:jc w:val="center"/>
              <w:rPr>
                <w:rFonts w:eastAsia="Times New Roman"/>
                <w:bCs/>
              </w:rPr>
            </w:pPr>
          </w:p>
          <w:p w:rsidR="008C69DE" w:rsidRDefault="008C69DE" w:rsidP="007A2A0C">
            <w:pPr>
              <w:spacing w:after="0" w:line="240" w:lineRule="auto"/>
              <w:jc w:val="center"/>
              <w:rPr>
                <w:rFonts w:eastAsia="Times New Roman"/>
                <w:bCs/>
              </w:rPr>
            </w:pPr>
            <w:r>
              <w:rPr>
                <w:rFonts w:eastAsia="Times New Roman"/>
                <w:bCs/>
              </w:rPr>
              <w:t>Appendix 2</w:t>
            </w:r>
          </w:p>
          <w:p w:rsidR="008C69DE" w:rsidRDefault="008C69DE" w:rsidP="007A2A0C">
            <w:pPr>
              <w:spacing w:after="0" w:line="240" w:lineRule="auto"/>
              <w:jc w:val="center"/>
              <w:rPr>
                <w:rFonts w:eastAsia="Times New Roman"/>
                <w:bCs/>
              </w:rPr>
            </w:pPr>
          </w:p>
          <w:p w:rsidR="008C69DE" w:rsidRPr="007A2A0C" w:rsidRDefault="008C69DE" w:rsidP="007A2A0C">
            <w:pPr>
              <w:spacing w:after="0" w:line="240" w:lineRule="auto"/>
              <w:jc w:val="center"/>
              <w:rPr>
                <w:rFonts w:eastAsia="Times New Roman"/>
                <w:bCs/>
              </w:rPr>
            </w:pPr>
          </w:p>
        </w:tc>
        <w:tc>
          <w:tcPr>
            <w:tcW w:w="6836" w:type="dxa"/>
          </w:tcPr>
          <w:p w:rsidR="007A2A0C" w:rsidRPr="007A2A0C" w:rsidRDefault="008C69DE" w:rsidP="007A2A0C">
            <w:pPr>
              <w:spacing w:after="0" w:line="240" w:lineRule="auto"/>
              <w:rPr>
                <w:rFonts w:eastAsia="Times New Roman"/>
                <w:bCs/>
              </w:rPr>
            </w:pPr>
            <w:r>
              <w:rPr>
                <w:rFonts w:eastAsia="Times New Roman"/>
                <w:bCs/>
              </w:rPr>
              <w:t>Governance</w:t>
            </w:r>
          </w:p>
          <w:p w:rsidR="007A2A0C" w:rsidRDefault="007A2A0C" w:rsidP="007A2A0C">
            <w:pPr>
              <w:spacing w:after="0" w:line="240" w:lineRule="auto"/>
              <w:rPr>
                <w:rFonts w:eastAsia="Times New Roman"/>
                <w:bCs/>
              </w:rPr>
            </w:pPr>
          </w:p>
          <w:p w:rsidR="008C69DE" w:rsidRDefault="008C69DE" w:rsidP="007A2A0C">
            <w:pPr>
              <w:spacing w:after="0" w:line="240" w:lineRule="auto"/>
              <w:rPr>
                <w:rFonts w:eastAsia="Times New Roman"/>
                <w:bCs/>
              </w:rPr>
            </w:pPr>
            <w:r w:rsidRPr="008C69DE">
              <w:rPr>
                <w:rFonts w:eastAsia="Times New Roman"/>
                <w:bCs/>
              </w:rPr>
              <w:t>Financial Inclusion Strategy Achievements 2014-17</w:t>
            </w:r>
          </w:p>
          <w:p w:rsidR="008C69DE" w:rsidRDefault="008C69DE" w:rsidP="007A2A0C">
            <w:pPr>
              <w:spacing w:after="0" w:line="240" w:lineRule="auto"/>
              <w:rPr>
                <w:rFonts w:eastAsia="Times New Roman"/>
                <w:bCs/>
              </w:rPr>
            </w:pPr>
          </w:p>
          <w:p w:rsidR="008C69DE" w:rsidRDefault="008C69DE" w:rsidP="007A2A0C">
            <w:pPr>
              <w:spacing w:after="0" w:line="240" w:lineRule="auto"/>
              <w:rPr>
                <w:rFonts w:eastAsia="Times New Roman"/>
                <w:bCs/>
              </w:rPr>
            </w:pPr>
            <w:r w:rsidRPr="008C69DE">
              <w:rPr>
                <w:rFonts w:eastAsia="Times New Roman"/>
                <w:bCs/>
              </w:rPr>
              <w:t>Financial Inclusion Strategy Action Plan</w:t>
            </w:r>
          </w:p>
          <w:p w:rsidR="008C69DE" w:rsidRDefault="008C69DE" w:rsidP="007A2A0C">
            <w:pPr>
              <w:spacing w:after="0" w:line="240" w:lineRule="auto"/>
              <w:rPr>
                <w:rFonts w:eastAsia="Times New Roman"/>
                <w:bCs/>
              </w:rPr>
            </w:pPr>
          </w:p>
          <w:p w:rsidR="008C69DE" w:rsidRPr="007A2A0C" w:rsidRDefault="008C69DE" w:rsidP="007A2A0C">
            <w:pPr>
              <w:spacing w:after="0" w:line="240" w:lineRule="auto"/>
              <w:rPr>
                <w:rFonts w:eastAsia="Times New Roman"/>
                <w:bCs/>
              </w:rPr>
            </w:pPr>
          </w:p>
        </w:tc>
        <w:tc>
          <w:tcPr>
            <w:tcW w:w="1454" w:type="dxa"/>
          </w:tcPr>
          <w:p w:rsidR="007A2A0C" w:rsidRDefault="008C69DE" w:rsidP="007A2A0C">
            <w:pPr>
              <w:spacing w:after="0" w:line="240" w:lineRule="auto"/>
              <w:jc w:val="center"/>
              <w:rPr>
                <w:rFonts w:eastAsia="Times New Roman"/>
                <w:bCs/>
              </w:rPr>
            </w:pPr>
            <w:r>
              <w:rPr>
                <w:rFonts w:eastAsia="Times New Roman"/>
                <w:bCs/>
              </w:rPr>
              <w:t>8</w:t>
            </w:r>
          </w:p>
          <w:p w:rsidR="008C69DE" w:rsidRDefault="008C69DE" w:rsidP="007A2A0C">
            <w:pPr>
              <w:spacing w:after="0" w:line="240" w:lineRule="auto"/>
              <w:jc w:val="center"/>
              <w:rPr>
                <w:rFonts w:eastAsia="Times New Roman"/>
                <w:bCs/>
              </w:rPr>
            </w:pPr>
          </w:p>
          <w:p w:rsidR="008C69DE" w:rsidRDefault="008C69DE" w:rsidP="007A2A0C">
            <w:pPr>
              <w:spacing w:after="0" w:line="240" w:lineRule="auto"/>
              <w:jc w:val="center"/>
              <w:rPr>
                <w:rFonts w:eastAsia="Times New Roman"/>
                <w:bCs/>
              </w:rPr>
            </w:pPr>
            <w:r>
              <w:rPr>
                <w:rFonts w:eastAsia="Times New Roman"/>
                <w:bCs/>
              </w:rPr>
              <w:t>9</w:t>
            </w:r>
          </w:p>
          <w:p w:rsidR="008C69DE" w:rsidRDefault="008C69DE" w:rsidP="007A2A0C">
            <w:pPr>
              <w:spacing w:after="0" w:line="240" w:lineRule="auto"/>
              <w:jc w:val="center"/>
              <w:rPr>
                <w:rFonts w:eastAsia="Times New Roman"/>
                <w:bCs/>
              </w:rPr>
            </w:pPr>
          </w:p>
          <w:p w:rsidR="008C69DE" w:rsidRDefault="008C69DE" w:rsidP="007A2A0C">
            <w:pPr>
              <w:spacing w:after="0" w:line="240" w:lineRule="auto"/>
              <w:jc w:val="center"/>
              <w:rPr>
                <w:rFonts w:eastAsia="Times New Roman"/>
                <w:bCs/>
              </w:rPr>
            </w:pPr>
            <w:r>
              <w:rPr>
                <w:rFonts w:eastAsia="Times New Roman"/>
                <w:bCs/>
              </w:rPr>
              <w:t>14</w:t>
            </w:r>
          </w:p>
          <w:p w:rsidR="008C69DE" w:rsidRDefault="008C69DE" w:rsidP="007A2A0C">
            <w:pPr>
              <w:spacing w:after="0" w:line="240" w:lineRule="auto"/>
              <w:jc w:val="center"/>
              <w:rPr>
                <w:rFonts w:eastAsia="Times New Roman"/>
                <w:bCs/>
              </w:rPr>
            </w:pPr>
          </w:p>
          <w:p w:rsidR="008C69DE" w:rsidRPr="007A2A0C" w:rsidRDefault="008C69DE" w:rsidP="007A2A0C">
            <w:pPr>
              <w:spacing w:after="0" w:line="240" w:lineRule="auto"/>
              <w:jc w:val="center"/>
              <w:rPr>
                <w:rFonts w:eastAsia="Times New Roman"/>
                <w:bCs/>
              </w:rPr>
            </w:pPr>
          </w:p>
        </w:tc>
      </w:tr>
      <w:tr w:rsidR="007A2A0C" w:rsidRPr="007A2A0C" w:rsidTr="007A2A0C">
        <w:tc>
          <w:tcPr>
            <w:tcW w:w="1372" w:type="dxa"/>
          </w:tcPr>
          <w:p w:rsidR="007A2A0C" w:rsidRPr="007A2A0C" w:rsidRDefault="007A2A0C" w:rsidP="007A2A0C">
            <w:pPr>
              <w:spacing w:after="0" w:line="240" w:lineRule="auto"/>
              <w:jc w:val="center"/>
              <w:rPr>
                <w:rFonts w:eastAsia="Times New Roman"/>
                <w:bCs/>
              </w:rPr>
            </w:pPr>
          </w:p>
        </w:tc>
        <w:tc>
          <w:tcPr>
            <w:tcW w:w="6836" w:type="dxa"/>
          </w:tcPr>
          <w:p w:rsidR="007A2A0C" w:rsidRPr="007A2A0C" w:rsidRDefault="007A2A0C" w:rsidP="007A2A0C">
            <w:pPr>
              <w:spacing w:after="0" w:line="240" w:lineRule="auto"/>
              <w:rPr>
                <w:rFonts w:eastAsia="Times New Roman"/>
                <w:bCs/>
              </w:rPr>
            </w:pPr>
          </w:p>
        </w:tc>
        <w:tc>
          <w:tcPr>
            <w:tcW w:w="1454" w:type="dxa"/>
          </w:tcPr>
          <w:p w:rsidR="007A2A0C" w:rsidRPr="007A2A0C" w:rsidRDefault="007A2A0C" w:rsidP="007A2A0C">
            <w:pPr>
              <w:spacing w:after="0" w:line="240" w:lineRule="auto"/>
              <w:jc w:val="center"/>
              <w:rPr>
                <w:rFonts w:eastAsia="Times New Roman"/>
                <w:bCs/>
              </w:rPr>
            </w:pPr>
          </w:p>
        </w:tc>
      </w:tr>
      <w:tr w:rsidR="007A2A0C" w:rsidRPr="007A2A0C" w:rsidTr="007A2A0C">
        <w:tc>
          <w:tcPr>
            <w:tcW w:w="1372" w:type="dxa"/>
          </w:tcPr>
          <w:p w:rsidR="007A2A0C" w:rsidRPr="007A2A0C" w:rsidRDefault="007A2A0C" w:rsidP="007A2A0C">
            <w:pPr>
              <w:spacing w:after="0" w:line="240" w:lineRule="auto"/>
              <w:jc w:val="center"/>
              <w:rPr>
                <w:rFonts w:eastAsia="Times New Roman"/>
                <w:bCs/>
              </w:rPr>
            </w:pPr>
          </w:p>
        </w:tc>
        <w:tc>
          <w:tcPr>
            <w:tcW w:w="6836" w:type="dxa"/>
          </w:tcPr>
          <w:p w:rsidR="007A2A0C" w:rsidRPr="007A2A0C" w:rsidRDefault="007A2A0C" w:rsidP="007A2A0C">
            <w:pPr>
              <w:spacing w:after="0" w:line="240" w:lineRule="auto"/>
              <w:rPr>
                <w:rFonts w:eastAsia="Times New Roman"/>
                <w:bCs/>
              </w:rPr>
            </w:pPr>
          </w:p>
        </w:tc>
        <w:tc>
          <w:tcPr>
            <w:tcW w:w="1454" w:type="dxa"/>
          </w:tcPr>
          <w:p w:rsidR="007A2A0C" w:rsidRPr="007A2A0C" w:rsidRDefault="007A2A0C" w:rsidP="007A2A0C">
            <w:pPr>
              <w:spacing w:after="0" w:line="240" w:lineRule="auto"/>
              <w:jc w:val="center"/>
              <w:rPr>
                <w:rFonts w:eastAsia="Times New Roman"/>
                <w:bCs/>
              </w:rPr>
            </w:pPr>
          </w:p>
        </w:tc>
      </w:tr>
      <w:tr w:rsidR="007A2A0C" w:rsidRPr="007A2A0C" w:rsidTr="007A2A0C">
        <w:tc>
          <w:tcPr>
            <w:tcW w:w="1372" w:type="dxa"/>
          </w:tcPr>
          <w:p w:rsidR="007A2A0C" w:rsidRPr="007A2A0C" w:rsidRDefault="007A2A0C" w:rsidP="007A2A0C">
            <w:pPr>
              <w:spacing w:after="0" w:line="240" w:lineRule="auto"/>
              <w:jc w:val="center"/>
              <w:rPr>
                <w:rFonts w:eastAsia="Times New Roman"/>
              </w:rPr>
            </w:pPr>
          </w:p>
        </w:tc>
        <w:tc>
          <w:tcPr>
            <w:tcW w:w="6836" w:type="dxa"/>
          </w:tcPr>
          <w:p w:rsidR="007A2A0C" w:rsidRPr="007A2A0C" w:rsidRDefault="007A2A0C" w:rsidP="007A2A0C">
            <w:pPr>
              <w:spacing w:after="0" w:line="240" w:lineRule="auto"/>
              <w:rPr>
                <w:rFonts w:eastAsia="Times New Roman"/>
                <w:bCs/>
              </w:rPr>
            </w:pPr>
          </w:p>
        </w:tc>
        <w:tc>
          <w:tcPr>
            <w:tcW w:w="1454" w:type="dxa"/>
          </w:tcPr>
          <w:p w:rsidR="007A2A0C" w:rsidRPr="007A2A0C" w:rsidRDefault="007A2A0C" w:rsidP="007A2A0C">
            <w:pPr>
              <w:spacing w:after="0" w:line="240" w:lineRule="auto"/>
              <w:jc w:val="center"/>
              <w:rPr>
                <w:rFonts w:eastAsia="Times New Roman"/>
              </w:rPr>
            </w:pPr>
          </w:p>
        </w:tc>
      </w:tr>
    </w:tbl>
    <w:p w:rsidR="007A2A0C" w:rsidRDefault="007A2A0C">
      <w:pPr>
        <w:rPr>
          <w:b/>
        </w:rPr>
      </w:pPr>
      <w:r>
        <w:rPr>
          <w:b/>
        </w:rPr>
        <w:br w:type="page"/>
      </w:r>
    </w:p>
    <w:p w:rsidR="00E33BF5" w:rsidRPr="00B77302" w:rsidRDefault="008B1C49" w:rsidP="00B77302">
      <w:pPr>
        <w:pStyle w:val="NoSpacing"/>
        <w:rPr>
          <w:b/>
        </w:rPr>
      </w:pPr>
      <w:r w:rsidRPr="00B77302">
        <w:rPr>
          <w:b/>
        </w:rPr>
        <w:lastRenderedPageBreak/>
        <w:t>INTRODUCTION</w:t>
      </w:r>
    </w:p>
    <w:p w:rsidR="00AD623D" w:rsidRDefault="00AD623D" w:rsidP="00B77302">
      <w:pPr>
        <w:pStyle w:val="NoSpacing"/>
      </w:pPr>
      <w:r w:rsidRPr="00AD623D">
        <w:t>This document sets out Oxford City Council’s (OCC) vision and strategy for financial inclusion and forms an integral component of the Council’s c</w:t>
      </w:r>
      <w:r w:rsidR="00FC024A">
        <w:t xml:space="preserve">ommitment to reduce inequality, which is articulated in the Council’s Corporate Equality Scheme. </w:t>
      </w:r>
      <w:r w:rsidRPr="00AD623D">
        <w:t xml:space="preserve">The Action Plan </w:t>
      </w:r>
      <w:r w:rsidR="004A6AB0">
        <w:t xml:space="preserve">at Appendix </w:t>
      </w:r>
      <w:r w:rsidR="00F30422">
        <w:t>Two</w:t>
      </w:r>
      <w:r w:rsidR="004A6AB0">
        <w:t xml:space="preserve"> </w:t>
      </w:r>
      <w:r w:rsidRPr="00AD623D">
        <w:t>details the activities that will be undertaken to achieve the aims of this strategy together with the lead officer from the Council’s perspective, plus any external partners involved in delivery.</w:t>
      </w:r>
    </w:p>
    <w:p w:rsidR="00B77302" w:rsidRPr="00AD623D" w:rsidRDefault="00B77302" w:rsidP="00B77302">
      <w:pPr>
        <w:pStyle w:val="NoSpacing"/>
      </w:pPr>
    </w:p>
    <w:p w:rsidR="00790884" w:rsidRDefault="00AD623D" w:rsidP="00790884">
      <w:pPr>
        <w:pStyle w:val="NoSpacing"/>
      </w:pPr>
      <w:r w:rsidRPr="00AD623D">
        <w:t xml:space="preserve">The Strategy covers the period </w:t>
      </w:r>
      <w:r w:rsidR="008B1C49">
        <w:t>Octo</w:t>
      </w:r>
      <w:r>
        <w:t>ber 2017</w:t>
      </w:r>
      <w:r w:rsidRPr="00AD623D">
        <w:t xml:space="preserve"> to March 20</w:t>
      </w:r>
      <w:r>
        <w:t>21</w:t>
      </w:r>
      <w:r w:rsidRPr="00AD623D">
        <w:t>. However this document will be re</w:t>
      </w:r>
      <w:r w:rsidR="00905462">
        <w:t>viewe</w:t>
      </w:r>
      <w:r w:rsidRPr="00AD623D">
        <w:t>d annually to ensure the outcomes from the Action Plan continue to meet the Council’s priorities.</w:t>
      </w:r>
      <w:r w:rsidR="00F30422">
        <w:t xml:space="preserve"> </w:t>
      </w:r>
      <w:r w:rsidR="00790884">
        <w:t>The priorities supported by the Strategy are as follows:</w:t>
      </w:r>
    </w:p>
    <w:p w:rsidR="00F30422" w:rsidRDefault="00F30422" w:rsidP="00790884">
      <w:pPr>
        <w:pStyle w:val="NoSpacing"/>
      </w:pPr>
    </w:p>
    <w:p w:rsidR="00790884" w:rsidRDefault="00790884" w:rsidP="00790884">
      <w:pPr>
        <w:pStyle w:val="NoSpacing"/>
        <w:numPr>
          <w:ilvl w:val="0"/>
          <w:numId w:val="15"/>
        </w:numPr>
      </w:pPr>
      <w:r w:rsidRPr="00E33BF5">
        <w:t>Vibrant &amp; Sustainable Economy – By supporting people to move from benefits into employment, supporting community job fairs, engaging with Community Employment Plans linked to significant developments (e.g. Westgate)</w:t>
      </w:r>
    </w:p>
    <w:p w:rsidR="00790884" w:rsidRDefault="00790884" w:rsidP="00790884">
      <w:pPr>
        <w:pStyle w:val="NoSpacing"/>
        <w:numPr>
          <w:ilvl w:val="0"/>
          <w:numId w:val="15"/>
        </w:numPr>
      </w:pPr>
      <w:r w:rsidRPr="00E33BF5">
        <w:t>Meeting Housing Need - Supporting people to manage their finances and sustain their tenancies, provision of advice to reduce debts, improve budgeting and access eligible benefits, measures to reduce fuel poverty</w:t>
      </w:r>
    </w:p>
    <w:p w:rsidR="004A6AB0" w:rsidRDefault="004A6AB0" w:rsidP="004A6AB0">
      <w:pPr>
        <w:pStyle w:val="NoSpacing"/>
      </w:pPr>
    </w:p>
    <w:p w:rsidR="004A6AB0" w:rsidRDefault="004A6AB0" w:rsidP="004A6AB0">
      <w:pPr>
        <w:pStyle w:val="NoSpacing"/>
      </w:pPr>
      <w:r>
        <w:t>Appendix One summarise the main achievements of the 2014-17 Financial Inclusion Strategy.</w:t>
      </w:r>
    </w:p>
    <w:p w:rsidR="00271649" w:rsidRDefault="00271649" w:rsidP="00B77302">
      <w:pPr>
        <w:pStyle w:val="NoSpacing"/>
      </w:pPr>
    </w:p>
    <w:p w:rsidR="00271649" w:rsidRDefault="00271649" w:rsidP="00B77302">
      <w:pPr>
        <w:pStyle w:val="NoSpacing"/>
        <w:rPr>
          <w:b/>
        </w:rPr>
      </w:pPr>
      <w:r w:rsidRPr="00271649">
        <w:rPr>
          <w:b/>
        </w:rPr>
        <w:t>WHAT IS FINANCIAL INCLUSION</w:t>
      </w:r>
    </w:p>
    <w:p w:rsidR="00271649" w:rsidRDefault="00271649" w:rsidP="00271649">
      <w:pPr>
        <w:pStyle w:val="NoSpacing"/>
      </w:pPr>
      <w:r w:rsidRPr="00271649">
        <w:t xml:space="preserve">Financial inclusion has been described as the process which ensures a person’s incoming money is maximised, their out-goings are controlled and they can exercise informed choices through access to basic financial services. Without this, people are often referred to as financially </w:t>
      </w:r>
      <w:proofErr w:type="gramStart"/>
      <w:r w:rsidRPr="00271649">
        <w:t>excluded</w:t>
      </w:r>
      <w:proofErr w:type="gramEnd"/>
      <w:r w:rsidRPr="00271649">
        <w:t>. People that are financially excluded are often those in poverty or experiencing disadvantage and as a result might:</w:t>
      </w:r>
    </w:p>
    <w:p w:rsidR="00271649" w:rsidRPr="00271649" w:rsidRDefault="00271649" w:rsidP="00271649">
      <w:pPr>
        <w:pStyle w:val="NoSpacing"/>
      </w:pPr>
    </w:p>
    <w:p w:rsidR="00271649" w:rsidRPr="00271649" w:rsidRDefault="005C04D0" w:rsidP="00271649">
      <w:pPr>
        <w:pStyle w:val="NoSpacing"/>
        <w:numPr>
          <w:ilvl w:val="0"/>
          <w:numId w:val="11"/>
        </w:numPr>
      </w:pPr>
      <w:r>
        <w:t>n</w:t>
      </w:r>
      <w:r w:rsidRPr="00271649">
        <w:t xml:space="preserve">ot </w:t>
      </w:r>
      <w:r w:rsidR="00271649" w:rsidRPr="00271649">
        <w:t>be able to access affordable credit</w:t>
      </w:r>
    </w:p>
    <w:p w:rsidR="00271649" w:rsidRPr="00271649" w:rsidRDefault="005C04D0" w:rsidP="00271649">
      <w:pPr>
        <w:pStyle w:val="NoSpacing"/>
        <w:numPr>
          <w:ilvl w:val="0"/>
          <w:numId w:val="11"/>
        </w:numPr>
      </w:pPr>
      <w:r>
        <w:t>not have access to</w:t>
      </w:r>
      <w:r w:rsidR="00271649" w:rsidRPr="00271649">
        <w:t>, or have difficulty obtaining a bank account</w:t>
      </w:r>
    </w:p>
    <w:p w:rsidR="00271649" w:rsidRPr="00271649" w:rsidRDefault="005C04D0" w:rsidP="00271649">
      <w:pPr>
        <w:pStyle w:val="NoSpacing"/>
        <w:numPr>
          <w:ilvl w:val="0"/>
          <w:numId w:val="11"/>
        </w:numPr>
      </w:pPr>
      <w:r>
        <w:t>b</w:t>
      </w:r>
      <w:r w:rsidRPr="00271649">
        <w:t xml:space="preserve">e </w:t>
      </w:r>
      <w:r w:rsidR="00271649" w:rsidRPr="00271649">
        <w:t>financially at risk through not having home insurance</w:t>
      </w:r>
    </w:p>
    <w:p w:rsidR="00271649" w:rsidRPr="00271649" w:rsidRDefault="005C04D0" w:rsidP="00271649">
      <w:pPr>
        <w:pStyle w:val="NoSpacing"/>
        <w:numPr>
          <w:ilvl w:val="0"/>
          <w:numId w:val="11"/>
        </w:numPr>
      </w:pPr>
      <w:r>
        <w:t>s</w:t>
      </w:r>
      <w:r w:rsidRPr="00271649">
        <w:t xml:space="preserve">truggle </w:t>
      </w:r>
      <w:r w:rsidR="00271649" w:rsidRPr="00271649">
        <w:t>to budget and manage money or plan for the unexpected</w:t>
      </w:r>
    </w:p>
    <w:p w:rsidR="00271649" w:rsidRPr="00271649" w:rsidRDefault="005C04D0" w:rsidP="00271649">
      <w:pPr>
        <w:pStyle w:val="NoSpacing"/>
        <w:numPr>
          <w:ilvl w:val="0"/>
          <w:numId w:val="11"/>
        </w:numPr>
      </w:pPr>
      <w:r>
        <w:t>have difficult in</w:t>
      </w:r>
      <w:r w:rsidR="00271649" w:rsidRPr="00271649">
        <w:t xml:space="preserve"> pay</w:t>
      </w:r>
      <w:r>
        <w:t>ing</w:t>
      </w:r>
      <w:r w:rsidR="00271649" w:rsidRPr="00271649">
        <w:t xml:space="preserve"> fuel bills and/or live in poor quality housing</w:t>
      </w:r>
    </w:p>
    <w:p w:rsidR="00271649" w:rsidRDefault="005C04D0" w:rsidP="00271649">
      <w:pPr>
        <w:pStyle w:val="NoSpacing"/>
        <w:numPr>
          <w:ilvl w:val="0"/>
          <w:numId w:val="11"/>
        </w:numPr>
      </w:pPr>
      <w:proofErr w:type="gramStart"/>
      <w:r>
        <w:t>n</w:t>
      </w:r>
      <w:r w:rsidRPr="00271649">
        <w:t>ot</w:t>
      </w:r>
      <w:proofErr w:type="gramEnd"/>
      <w:r w:rsidRPr="00271649">
        <w:t xml:space="preserve"> </w:t>
      </w:r>
      <w:r w:rsidR="00271649" w:rsidRPr="00271649">
        <w:t>know how to make the most of their money</w:t>
      </w:r>
      <w:r>
        <w:t>.</w:t>
      </w:r>
    </w:p>
    <w:p w:rsidR="00271649" w:rsidRPr="00271649" w:rsidRDefault="00271649" w:rsidP="00271649">
      <w:pPr>
        <w:pStyle w:val="NoSpacing"/>
      </w:pPr>
    </w:p>
    <w:p w:rsidR="00271649" w:rsidRDefault="00271649" w:rsidP="00271649">
      <w:pPr>
        <w:pStyle w:val="NoSpacing"/>
      </w:pPr>
      <w:r w:rsidRPr="00271649">
        <w:t xml:space="preserve">As the impact of financial exclusion falls more heavily on low income households, this strategy seeks to ensure sufficient support is provided to such households to maximise their income. This will be achieved through a number of means, but will include supporting people to access </w:t>
      </w:r>
      <w:proofErr w:type="gramStart"/>
      <w:r w:rsidRPr="00271649">
        <w:t>employment,</w:t>
      </w:r>
      <w:proofErr w:type="gramEnd"/>
      <w:r w:rsidRPr="00271649">
        <w:t xml:space="preserve"> and </w:t>
      </w:r>
      <w:r>
        <w:t xml:space="preserve">in overcoming barriers to work. </w:t>
      </w:r>
      <w:r w:rsidRPr="00271649">
        <w:t>Sound financial inclusion work can help deliver sustainable improvements for individuals and their communities, and enable the Council to become more cost efficient. The benefits of financial inclusion can be defined as follows</w:t>
      </w:r>
      <w:r w:rsidR="005C04D0">
        <w:t>.</w:t>
      </w:r>
    </w:p>
    <w:p w:rsidR="00271649" w:rsidRPr="00271649" w:rsidRDefault="00271649" w:rsidP="00271649">
      <w:pPr>
        <w:pStyle w:val="NoSpacing"/>
      </w:pPr>
    </w:p>
    <w:p w:rsidR="00271649" w:rsidRPr="00271649" w:rsidRDefault="00271649" w:rsidP="00271649">
      <w:pPr>
        <w:pStyle w:val="NoSpacing"/>
      </w:pPr>
      <w:r w:rsidRPr="00271649">
        <w:t xml:space="preserve">For </w:t>
      </w:r>
      <w:r w:rsidR="005C04D0">
        <w:t>individuals and their families</w:t>
      </w:r>
      <w:r w:rsidRPr="00271649">
        <w:t>:</w:t>
      </w:r>
    </w:p>
    <w:p w:rsidR="00271649" w:rsidRPr="00271649" w:rsidRDefault="005C04D0" w:rsidP="00271649">
      <w:pPr>
        <w:pStyle w:val="NoSpacing"/>
        <w:numPr>
          <w:ilvl w:val="0"/>
          <w:numId w:val="12"/>
        </w:numPr>
      </w:pPr>
      <w:r>
        <w:t>a</w:t>
      </w:r>
      <w:r w:rsidRPr="00271649">
        <w:t xml:space="preserve">ccess </w:t>
      </w:r>
      <w:r w:rsidR="00271649" w:rsidRPr="00271649">
        <w:t>to lower cost household bills</w:t>
      </w:r>
    </w:p>
    <w:p w:rsidR="00271649" w:rsidRDefault="005C04D0" w:rsidP="00271649">
      <w:pPr>
        <w:pStyle w:val="NoSpacing"/>
        <w:numPr>
          <w:ilvl w:val="0"/>
          <w:numId w:val="12"/>
        </w:numPr>
      </w:pPr>
      <w:r>
        <w:t>l</w:t>
      </w:r>
      <w:r w:rsidRPr="00271649">
        <w:t xml:space="preserve">ower </w:t>
      </w:r>
      <w:r w:rsidR="00271649" w:rsidRPr="00271649">
        <w:t>transactions costs</w:t>
      </w:r>
    </w:p>
    <w:p w:rsidR="005C04D0" w:rsidRPr="00271649" w:rsidRDefault="005C04D0" w:rsidP="00271649">
      <w:pPr>
        <w:pStyle w:val="NoSpacing"/>
        <w:numPr>
          <w:ilvl w:val="0"/>
          <w:numId w:val="12"/>
        </w:numPr>
      </w:pPr>
      <w:r>
        <w:t>f</w:t>
      </w:r>
      <w:r w:rsidRPr="00271649">
        <w:t>ewer family break-ups</w:t>
      </w:r>
    </w:p>
    <w:p w:rsidR="00271649" w:rsidRPr="00271649" w:rsidRDefault="005C04D0" w:rsidP="00271649">
      <w:pPr>
        <w:pStyle w:val="NoSpacing"/>
        <w:numPr>
          <w:ilvl w:val="0"/>
          <w:numId w:val="12"/>
        </w:numPr>
      </w:pPr>
      <w:r>
        <w:t>m</w:t>
      </w:r>
      <w:r w:rsidRPr="00271649">
        <w:t xml:space="preserve">ore </w:t>
      </w:r>
      <w:r w:rsidR="00271649" w:rsidRPr="00271649">
        <w:t>able to withstand financial shocks</w:t>
      </w:r>
    </w:p>
    <w:p w:rsidR="00271649" w:rsidRPr="00271649" w:rsidRDefault="005C04D0" w:rsidP="00271649">
      <w:pPr>
        <w:pStyle w:val="NoSpacing"/>
        <w:numPr>
          <w:ilvl w:val="0"/>
          <w:numId w:val="12"/>
        </w:numPr>
      </w:pPr>
      <w:r>
        <w:t>b</w:t>
      </w:r>
      <w:r w:rsidRPr="00271649">
        <w:t xml:space="preserve">etter </w:t>
      </w:r>
      <w:r w:rsidR="00271649" w:rsidRPr="00271649">
        <w:t>physical and mental health outcomes</w:t>
      </w:r>
    </w:p>
    <w:p w:rsidR="00271649" w:rsidRDefault="005C04D0" w:rsidP="00271649">
      <w:pPr>
        <w:pStyle w:val="NoSpacing"/>
        <w:numPr>
          <w:ilvl w:val="0"/>
          <w:numId w:val="12"/>
        </w:numPr>
      </w:pPr>
      <w:proofErr w:type="gramStart"/>
      <w:r>
        <w:t>a</w:t>
      </w:r>
      <w:r w:rsidRPr="00271649">
        <w:t>ble</w:t>
      </w:r>
      <w:proofErr w:type="gramEnd"/>
      <w:r w:rsidRPr="00271649">
        <w:t xml:space="preserve"> </w:t>
      </w:r>
      <w:r w:rsidR="00271649" w:rsidRPr="00271649">
        <w:t>to play a full part in society</w:t>
      </w:r>
      <w:r>
        <w:t>.</w:t>
      </w:r>
    </w:p>
    <w:p w:rsidR="005C04D0" w:rsidRPr="00271649" w:rsidRDefault="005C04D0" w:rsidP="003265EE">
      <w:pPr>
        <w:pStyle w:val="NoSpacing"/>
        <w:ind w:left="720"/>
      </w:pPr>
    </w:p>
    <w:p w:rsidR="00E86DE1" w:rsidRDefault="00E86DE1" w:rsidP="00271649">
      <w:pPr>
        <w:pStyle w:val="NoSpacing"/>
      </w:pPr>
    </w:p>
    <w:p w:rsidR="00E86DE1" w:rsidRDefault="00E86DE1" w:rsidP="00271649">
      <w:pPr>
        <w:pStyle w:val="NoSpacing"/>
      </w:pPr>
    </w:p>
    <w:p w:rsidR="00271649" w:rsidRPr="00271649" w:rsidRDefault="00271649" w:rsidP="00271649">
      <w:pPr>
        <w:pStyle w:val="NoSpacing"/>
      </w:pPr>
      <w:r w:rsidRPr="00271649">
        <w:lastRenderedPageBreak/>
        <w:t xml:space="preserve">For </w:t>
      </w:r>
      <w:r w:rsidR="005C04D0">
        <w:t>local c</w:t>
      </w:r>
      <w:r w:rsidR="005C04D0" w:rsidRPr="00271649">
        <w:t>ommunities</w:t>
      </w:r>
      <w:r w:rsidRPr="00271649">
        <w:t>:</w:t>
      </w:r>
    </w:p>
    <w:p w:rsidR="00271649" w:rsidRPr="00271649" w:rsidRDefault="005C04D0" w:rsidP="00E86DE1">
      <w:pPr>
        <w:pStyle w:val="NoSpacing"/>
        <w:numPr>
          <w:ilvl w:val="0"/>
          <w:numId w:val="13"/>
        </w:numPr>
      </w:pPr>
      <w:r>
        <w:t>m</w:t>
      </w:r>
      <w:r w:rsidRPr="00271649">
        <w:t xml:space="preserve">ore </w:t>
      </w:r>
      <w:r w:rsidR="00271649" w:rsidRPr="00271649">
        <w:t>settled and stable communities</w:t>
      </w:r>
    </w:p>
    <w:p w:rsidR="005C04D0" w:rsidRPr="00271649" w:rsidRDefault="005C04D0" w:rsidP="005C04D0">
      <w:pPr>
        <w:pStyle w:val="NoSpacing"/>
        <w:numPr>
          <w:ilvl w:val="0"/>
          <w:numId w:val="13"/>
        </w:numPr>
      </w:pPr>
      <w:proofErr w:type="gramStart"/>
      <w:r>
        <w:t>m</w:t>
      </w:r>
      <w:r w:rsidRPr="00271649">
        <w:t>ore</w:t>
      </w:r>
      <w:proofErr w:type="gramEnd"/>
      <w:r w:rsidRPr="00271649">
        <w:t xml:space="preserve"> </w:t>
      </w:r>
      <w:r w:rsidR="00271649" w:rsidRPr="00271649">
        <w:t>money spent in local economy</w:t>
      </w:r>
      <w:r>
        <w:t>.</w:t>
      </w:r>
    </w:p>
    <w:p w:rsidR="005C04D0" w:rsidRDefault="005C04D0" w:rsidP="00271649">
      <w:pPr>
        <w:pStyle w:val="NoSpacing"/>
      </w:pPr>
    </w:p>
    <w:p w:rsidR="00271649" w:rsidRDefault="00271649" w:rsidP="00271649">
      <w:pPr>
        <w:pStyle w:val="NoSpacing"/>
      </w:pPr>
      <w:r w:rsidRPr="00271649">
        <w:t>For the Council</w:t>
      </w:r>
      <w:r w:rsidR="005C04D0">
        <w:t>/local taxpayers and tenants:</w:t>
      </w:r>
    </w:p>
    <w:p w:rsidR="00271649" w:rsidRPr="00271649" w:rsidRDefault="005C04D0" w:rsidP="00271649">
      <w:pPr>
        <w:pStyle w:val="NoSpacing"/>
        <w:numPr>
          <w:ilvl w:val="0"/>
          <w:numId w:val="14"/>
        </w:numPr>
      </w:pPr>
      <w:r>
        <w:t>i</w:t>
      </w:r>
      <w:r w:rsidRPr="00271649">
        <w:t xml:space="preserve">mproved </w:t>
      </w:r>
      <w:r w:rsidR="00271649" w:rsidRPr="00271649">
        <w:t>cash flow</w:t>
      </w:r>
    </w:p>
    <w:p w:rsidR="00271649" w:rsidRPr="00271649" w:rsidRDefault="005C04D0" w:rsidP="00271649">
      <w:pPr>
        <w:pStyle w:val="NoSpacing"/>
        <w:numPr>
          <w:ilvl w:val="0"/>
          <w:numId w:val="14"/>
        </w:numPr>
      </w:pPr>
      <w:r>
        <w:t>r</w:t>
      </w:r>
      <w:r w:rsidRPr="00271649">
        <w:t xml:space="preserve">eduction </w:t>
      </w:r>
      <w:r w:rsidR="00271649" w:rsidRPr="00271649">
        <w:t>in rent arrears</w:t>
      </w:r>
    </w:p>
    <w:p w:rsidR="00271649" w:rsidRPr="00271649" w:rsidRDefault="005C04D0" w:rsidP="00271649">
      <w:pPr>
        <w:pStyle w:val="NoSpacing"/>
        <w:numPr>
          <w:ilvl w:val="0"/>
          <w:numId w:val="14"/>
        </w:numPr>
      </w:pPr>
      <w:r>
        <w:t>f</w:t>
      </w:r>
      <w:r w:rsidRPr="00271649">
        <w:t xml:space="preserve">ewer </w:t>
      </w:r>
      <w:r w:rsidR="00271649" w:rsidRPr="00271649">
        <w:t>evictions</w:t>
      </w:r>
    </w:p>
    <w:p w:rsidR="00271649" w:rsidRPr="00271649" w:rsidRDefault="005C04D0" w:rsidP="00271649">
      <w:pPr>
        <w:pStyle w:val="NoSpacing"/>
        <w:numPr>
          <w:ilvl w:val="0"/>
          <w:numId w:val="14"/>
        </w:numPr>
      </w:pPr>
      <w:r>
        <w:t>f</w:t>
      </w:r>
      <w:r w:rsidRPr="00271649">
        <w:t xml:space="preserve">ewer </w:t>
      </w:r>
      <w:r w:rsidR="00271649" w:rsidRPr="00271649">
        <w:t>homeless presentations</w:t>
      </w:r>
    </w:p>
    <w:p w:rsidR="00271649" w:rsidRPr="00271649" w:rsidRDefault="005C04D0" w:rsidP="00271649">
      <w:pPr>
        <w:pStyle w:val="NoSpacing"/>
        <w:numPr>
          <w:ilvl w:val="0"/>
          <w:numId w:val="14"/>
        </w:numPr>
      </w:pPr>
      <w:r>
        <w:t>l</w:t>
      </w:r>
      <w:r w:rsidRPr="00271649">
        <w:t xml:space="preserve">ess </w:t>
      </w:r>
      <w:r w:rsidR="00271649" w:rsidRPr="00271649">
        <w:t>tenant turnover</w:t>
      </w:r>
    </w:p>
    <w:p w:rsidR="00271649" w:rsidRPr="00271649" w:rsidRDefault="005C04D0" w:rsidP="00271649">
      <w:pPr>
        <w:pStyle w:val="NoSpacing"/>
        <w:numPr>
          <w:ilvl w:val="0"/>
          <w:numId w:val="14"/>
        </w:numPr>
      </w:pPr>
      <w:proofErr w:type="gramStart"/>
      <w:r>
        <w:t>r</w:t>
      </w:r>
      <w:r w:rsidRPr="00271649">
        <w:t>eduction</w:t>
      </w:r>
      <w:proofErr w:type="gramEnd"/>
      <w:r w:rsidRPr="00271649">
        <w:t xml:space="preserve"> </w:t>
      </w:r>
      <w:r w:rsidR="00271649" w:rsidRPr="00271649">
        <w:t>in costs of Council Tax and Rent collection</w:t>
      </w:r>
      <w:r>
        <w:t>.</w:t>
      </w:r>
    </w:p>
    <w:p w:rsidR="00B77302" w:rsidRDefault="00B77302" w:rsidP="00B77302">
      <w:pPr>
        <w:pStyle w:val="NoSpacing"/>
      </w:pPr>
    </w:p>
    <w:p w:rsidR="008B1C49" w:rsidRPr="00B77302" w:rsidRDefault="008B1C49" w:rsidP="00B77302">
      <w:pPr>
        <w:pStyle w:val="NoSpacing"/>
        <w:rPr>
          <w:b/>
        </w:rPr>
      </w:pPr>
      <w:r w:rsidRPr="00B77302">
        <w:rPr>
          <w:b/>
        </w:rPr>
        <w:t xml:space="preserve">CONTEXT </w:t>
      </w:r>
    </w:p>
    <w:p w:rsidR="00123E3D" w:rsidRDefault="00E33BF5" w:rsidP="00B77302">
      <w:pPr>
        <w:pStyle w:val="NoSpacing"/>
      </w:pPr>
      <w:r w:rsidRPr="00E33BF5">
        <w:t>Since the first FIS was introduced residents of Oxford have seen wages fall in real terms, and benefits have been frozen, whilst housing costs have continued to rise. This creates a</w:t>
      </w:r>
      <w:r w:rsidR="004A6AB0">
        <w:t>n</w:t>
      </w:r>
      <w:r w:rsidRPr="00E33BF5">
        <w:t xml:space="preserve"> increased risk of homelessness. Reducing the numbers of people who are financially excluded mitigates this risk.</w:t>
      </w:r>
      <w:r w:rsidR="00900987">
        <w:t xml:space="preserve"> </w:t>
      </w:r>
    </w:p>
    <w:p w:rsidR="00123E3D" w:rsidRDefault="00123E3D" w:rsidP="00B77302">
      <w:pPr>
        <w:pStyle w:val="NoSpacing"/>
      </w:pPr>
    </w:p>
    <w:p w:rsidR="00B77302" w:rsidRDefault="00123E3D" w:rsidP="00B77302">
      <w:pPr>
        <w:pStyle w:val="NoSpacing"/>
      </w:pPr>
      <w:r>
        <w:t>This section details the main factors which impact on the level of financial exclusion in Oxford. (</w:t>
      </w:r>
      <w:r w:rsidR="00900987" w:rsidRPr="00900987">
        <w:t>Work the Council undertakes to tackle homelessness and increase housing supply</w:t>
      </w:r>
      <w:r w:rsidR="00900987">
        <w:t xml:space="preserve"> will impact positively on individuals’ financial inclusion. However</w:t>
      </w:r>
      <w:r w:rsidR="005C04D0">
        <w:t>,</w:t>
      </w:r>
      <w:r w:rsidR="00900987">
        <w:t xml:space="preserve"> this work is addressed by the Council’s Housing and Homelessness Strateg</w:t>
      </w:r>
      <w:r>
        <w:t>y and so is not duplicated here).</w:t>
      </w:r>
    </w:p>
    <w:p w:rsidR="009370AD" w:rsidRPr="009370AD" w:rsidRDefault="009370AD" w:rsidP="00B77302">
      <w:pPr>
        <w:pStyle w:val="NoSpacing"/>
      </w:pPr>
    </w:p>
    <w:p w:rsidR="009370AD" w:rsidRPr="00B77302" w:rsidRDefault="009370AD" w:rsidP="00B77302">
      <w:pPr>
        <w:pStyle w:val="NoSpacing"/>
        <w:rPr>
          <w:b/>
        </w:rPr>
      </w:pPr>
      <w:r w:rsidRPr="00B77302">
        <w:rPr>
          <w:b/>
        </w:rPr>
        <w:t>Benefits</w:t>
      </w:r>
    </w:p>
    <w:p w:rsidR="00905462" w:rsidRDefault="009370AD" w:rsidP="00B77302">
      <w:pPr>
        <w:pStyle w:val="NoSpacing"/>
      </w:pPr>
      <w:r>
        <w:t>Since 2010 the government’s welfare reform agenda has seen a continuing reduction in the amount of benefit awarded to individuals.</w:t>
      </w:r>
      <w:r w:rsidR="00905462" w:rsidRPr="00905462">
        <w:t xml:space="preserve"> </w:t>
      </w:r>
      <w:r w:rsidR="00860FFD">
        <w:t xml:space="preserve">The Centre for Regional, Economic and Social Research </w:t>
      </w:r>
      <w:r w:rsidR="000D66F5">
        <w:t xml:space="preserve">has </w:t>
      </w:r>
      <w:r w:rsidR="00860FFD">
        <w:t xml:space="preserve">calculated that between 2010 and 2020 benefit recipients in Oxford will lose a total of £47.8 million from welfare reforms introduced during this period. </w:t>
      </w:r>
      <w:r w:rsidR="00860FFD" w:rsidRPr="00860FFD">
        <w:t>Nationally, from 2016 the cumulative loss from welfare reform will amount to £40.62 per week by 2020</w:t>
      </w:r>
      <w:r w:rsidR="000D66F5">
        <w:t xml:space="preserve">. </w:t>
      </w:r>
      <w:r w:rsidR="00905462" w:rsidRPr="00905462">
        <w:t>Th</w:t>
      </w:r>
      <w:r w:rsidR="000D66F5">
        <w:t>i</w:t>
      </w:r>
      <w:r w:rsidR="00905462" w:rsidRPr="00905462">
        <w:t>s</w:t>
      </w:r>
      <w:r w:rsidR="000D66F5">
        <w:t xml:space="preserve"> is</w:t>
      </w:r>
      <w:r w:rsidR="00905462" w:rsidRPr="00905462">
        <w:t xml:space="preserve"> a consequence of expected inflation and private rent growth, combined with the freezing of benefits rates for working-age people through to 2020. This means many households see falls in real income. </w:t>
      </w:r>
      <w:r w:rsidR="009575D2">
        <w:t>The main consequences of this for the FIS are as follows</w:t>
      </w:r>
      <w:r w:rsidR="005C04D0">
        <w:t>.</w:t>
      </w:r>
    </w:p>
    <w:p w:rsidR="00F30422" w:rsidRDefault="00F30422" w:rsidP="00B77302">
      <w:pPr>
        <w:pStyle w:val="NoSpacing"/>
      </w:pPr>
    </w:p>
    <w:p w:rsidR="009575D2" w:rsidRDefault="00E859D3" w:rsidP="00B77302">
      <w:pPr>
        <w:pStyle w:val="NoSpacing"/>
        <w:numPr>
          <w:ilvl w:val="0"/>
          <w:numId w:val="10"/>
        </w:numPr>
      </w:pPr>
      <w:r>
        <w:t xml:space="preserve">Private tenants are heavily affected by welfare reform in terms of real income loss, due to </w:t>
      </w:r>
      <w:proofErr w:type="gramStart"/>
      <w:r>
        <w:t>the disconnect</w:t>
      </w:r>
      <w:proofErr w:type="gramEnd"/>
      <w:r>
        <w:t xml:space="preserve"> between L</w:t>
      </w:r>
      <w:r w:rsidR="009575D2">
        <w:t xml:space="preserve">ocal </w:t>
      </w:r>
      <w:r>
        <w:t>H</w:t>
      </w:r>
      <w:r w:rsidR="009575D2">
        <w:t xml:space="preserve">ousing </w:t>
      </w:r>
      <w:r>
        <w:t>A</w:t>
      </w:r>
      <w:r w:rsidR="009575D2">
        <w:t>llowance</w:t>
      </w:r>
      <w:r>
        <w:t xml:space="preserve"> rate</w:t>
      </w:r>
      <w:r w:rsidR="009575D2">
        <w:t>s and private rent price growth</w:t>
      </w:r>
      <w:r w:rsidR="005C04D0">
        <w:t>.</w:t>
      </w:r>
    </w:p>
    <w:p w:rsidR="00E859D3" w:rsidRDefault="00E859D3" w:rsidP="00B77302">
      <w:pPr>
        <w:pStyle w:val="NoSpacing"/>
        <w:numPr>
          <w:ilvl w:val="0"/>
          <w:numId w:val="10"/>
        </w:numPr>
      </w:pPr>
      <w:r>
        <w:t>Working households in receipt of tax credits are particularly likely to be highly affected by welfare reform, largely due to the c</w:t>
      </w:r>
      <w:r w:rsidR="009575D2">
        <w:t>uts to work allowances under Universal Credit</w:t>
      </w:r>
      <w:r w:rsidR="005C04D0">
        <w:t>.</w:t>
      </w:r>
    </w:p>
    <w:p w:rsidR="00B77302" w:rsidRDefault="00E859D3" w:rsidP="00B77302">
      <w:pPr>
        <w:pStyle w:val="NoSpacing"/>
        <w:numPr>
          <w:ilvl w:val="0"/>
          <w:numId w:val="10"/>
        </w:numPr>
      </w:pPr>
      <w:r>
        <w:t>Over two thirds of households highly affected by welfare reform and in rece</w:t>
      </w:r>
      <w:r w:rsidR="009575D2">
        <w:t xml:space="preserve">ipt of out-of-work benefits face significant </w:t>
      </w:r>
      <w:r w:rsidR="00B77302">
        <w:t>barriers to work</w:t>
      </w:r>
      <w:r w:rsidR="005C04D0">
        <w:t>.</w:t>
      </w:r>
    </w:p>
    <w:p w:rsidR="00E859D3" w:rsidRDefault="00E859D3" w:rsidP="00F4509F">
      <w:pPr>
        <w:pStyle w:val="NoSpacing"/>
        <w:numPr>
          <w:ilvl w:val="0"/>
          <w:numId w:val="10"/>
        </w:numPr>
      </w:pPr>
      <w:r>
        <w:t>Certain cohorts, such as families with children and households containing a person with a disability (especially households in receipt of D</w:t>
      </w:r>
      <w:r w:rsidR="009575D2">
        <w:t xml:space="preserve">isability </w:t>
      </w:r>
      <w:r>
        <w:t>L</w:t>
      </w:r>
      <w:r w:rsidR="009575D2">
        <w:t xml:space="preserve">iving </w:t>
      </w:r>
      <w:r>
        <w:t>A</w:t>
      </w:r>
      <w:r w:rsidR="009575D2">
        <w:t>llowance</w:t>
      </w:r>
      <w:r>
        <w:t>/P</w:t>
      </w:r>
      <w:r w:rsidR="009575D2">
        <w:t xml:space="preserve">ersonal </w:t>
      </w:r>
      <w:r>
        <w:t>I</w:t>
      </w:r>
      <w:r w:rsidR="009575D2">
        <w:t xml:space="preserve">ndependence </w:t>
      </w:r>
      <w:r>
        <w:t>P</w:t>
      </w:r>
      <w:r w:rsidR="009575D2">
        <w:t>ayment</w:t>
      </w:r>
      <w:r>
        <w:t>) are particularly affected. Some of these households are likely to be unable to move in</w:t>
      </w:r>
      <w:r w:rsidR="009575D2">
        <w:t xml:space="preserve">to </w:t>
      </w:r>
      <w:proofErr w:type="gramStart"/>
      <w:r w:rsidR="009575D2">
        <w:t>work,</w:t>
      </w:r>
      <w:proofErr w:type="gramEnd"/>
      <w:r w:rsidR="009575D2">
        <w:t xml:space="preserve"> or to better paid work (</w:t>
      </w:r>
      <w:r w:rsidR="00F4509F" w:rsidRPr="00F4509F">
        <w:rPr>
          <w:i/>
        </w:rPr>
        <w:t>Policy in Practice – The cumulative impacts of welfare reform: a national picture, 2017</w:t>
      </w:r>
      <w:r w:rsidR="009575D2">
        <w:t>)</w:t>
      </w:r>
      <w:r w:rsidR="005C04D0">
        <w:t>.</w:t>
      </w:r>
    </w:p>
    <w:p w:rsidR="009575D2" w:rsidRDefault="009575D2" w:rsidP="00B77302">
      <w:pPr>
        <w:pStyle w:val="NoSpacing"/>
      </w:pPr>
    </w:p>
    <w:p w:rsidR="00B77302" w:rsidRDefault="00B77302" w:rsidP="00B77302">
      <w:pPr>
        <w:pStyle w:val="NoSpacing"/>
      </w:pPr>
      <w:r>
        <w:t>The rollout of Universal Credit full service from October 2017 b</w:t>
      </w:r>
      <w:r w:rsidR="004A6AB0">
        <w:t>r</w:t>
      </w:r>
      <w:r>
        <w:t xml:space="preserve">ings additional challenges for the City Council. In the short term, </w:t>
      </w:r>
      <w:r w:rsidR="00586E83">
        <w:t xml:space="preserve">some </w:t>
      </w:r>
      <w:r>
        <w:t>people migrating to Universal Credit may face a period of at least six weeks without any income</w:t>
      </w:r>
      <w:r w:rsidR="00586E83">
        <w:t>, or a reduced income</w:t>
      </w:r>
      <w:r>
        <w:t xml:space="preserve">. They will also be responsible for paying their housing costs themselves (although there are circumstances where landlords can request payment of this element). </w:t>
      </w:r>
      <w:r w:rsidR="00910E44">
        <w:t>As the benefit is administered</w:t>
      </w:r>
      <w:r>
        <w:t xml:space="preserve"> by the Department of Work &amp; Pensions, it will not be possible for the Council or its partners to </w:t>
      </w:r>
      <w:r>
        <w:lastRenderedPageBreak/>
        <w:t>quickly resolve delays i</w:t>
      </w:r>
      <w:r w:rsidR="004A6AB0">
        <w:t xml:space="preserve">n payment of housing costs, as </w:t>
      </w:r>
      <w:r>
        <w:t xml:space="preserve">currently </w:t>
      </w:r>
      <w:r w:rsidR="004A6AB0">
        <w:t>happens</w:t>
      </w:r>
      <w:r>
        <w:t xml:space="preserve"> with Housing </w:t>
      </w:r>
      <w:r w:rsidR="004A6AB0">
        <w:t>Benefit</w:t>
      </w:r>
      <w:r>
        <w:t>.</w:t>
      </w:r>
    </w:p>
    <w:p w:rsidR="00B77302" w:rsidRDefault="00B77302" w:rsidP="00B77302">
      <w:pPr>
        <w:pStyle w:val="NoSpacing"/>
      </w:pPr>
    </w:p>
    <w:p w:rsidR="00E859D3" w:rsidRDefault="00E859D3" w:rsidP="00B77302">
      <w:pPr>
        <w:pStyle w:val="NoSpacing"/>
      </w:pPr>
      <w:r>
        <w:t>Potential repercussions</w:t>
      </w:r>
      <w:r w:rsidR="009575D2">
        <w:t xml:space="preserve"> of th</w:t>
      </w:r>
      <w:r w:rsidR="00910E44">
        <w:t>e</w:t>
      </w:r>
      <w:r w:rsidR="009575D2">
        <w:t>s</w:t>
      </w:r>
      <w:r w:rsidR="00910E44">
        <w:t>e issues</w:t>
      </w:r>
      <w:r>
        <w:t xml:space="preserve"> </w:t>
      </w:r>
      <w:r w:rsidR="009575D2">
        <w:t>for Oxford City Council are</w:t>
      </w:r>
      <w:r>
        <w:t>: an increase in the number of households in temporary accommodation or at risk of homelessness; impact</w:t>
      </w:r>
      <w:r w:rsidR="004A6AB0">
        <w:t>s</w:t>
      </w:r>
      <w:r>
        <w:t xml:space="preserve"> on other council services and the number of residents falling into situations of poverty or hardship. </w:t>
      </w:r>
    </w:p>
    <w:p w:rsidR="00B77302" w:rsidRDefault="00B77302" w:rsidP="00B77302">
      <w:pPr>
        <w:pStyle w:val="NoSpacing"/>
      </w:pPr>
    </w:p>
    <w:p w:rsidR="00B77302" w:rsidRPr="00B77302" w:rsidRDefault="00B77302" w:rsidP="00B77302">
      <w:pPr>
        <w:pStyle w:val="NoSpacing"/>
        <w:rPr>
          <w:b/>
        </w:rPr>
      </w:pPr>
      <w:r w:rsidRPr="00B77302">
        <w:rPr>
          <w:b/>
        </w:rPr>
        <w:t>Housing</w:t>
      </w:r>
    </w:p>
    <w:p w:rsidR="00B77302" w:rsidRPr="00B77302" w:rsidRDefault="00B77302" w:rsidP="00B77302">
      <w:pPr>
        <w:pStyle w:val="NoSpacing"/>
      </w:pPr>
      <w:r>
        <w:t>Housing pressures in Oxford are well documented. The following statistics highlight the difficulty of buying a house or obtaining private or socially rented property</w:t>
      </w:r>
      <w:r w:rsidR="005F522E">
        <w:t>.</w:t>
      </w:r>
    </w:p>
    <w:p w:rsidR="000273E5" w:rsidRDefault="000273E5" w:rsidP="00B77302">
      <w:pPr>
        <w:pStyle w:val="NoSpacing"/>
        <w:numPr>
          <w:ilvl w:val="0"/>
          <w:numId w:val="9"/>
        </w:numPr>
      </w:pPr>
      <w:r w:rsidRPr="000273E5">
        <w:t>The average house price of £491,900 is around 16 times the average yearly household income £29,400 (ref. Centre for Cities 2017).</w:t>
      </w:r>
    </w:p>
    <w:p w:rsidR="00436639" w:rsidRDefault="00436639" w:rsidP="00B77302">
      <w:pPr>
        <w:pStyle w:val="NoSpacing"/>
        <w:numPr>
          <w:ilvl w:val="0"/>
          <w:numId w:val="9"/>
        </w:numPr>
      </w:pPr>
      <w:r w:rsidRPr="00436639">
        <w:t>The median private rent for a three-bedroom house is £300 per week, over half median earnings and 30% above the Local Housing Allowance Rate of £230 per week.</w:t>
      </w:r>
    </w:p>
    <w:p w:rsidR="000273E5" w:rsidRDefault="00B77302" w:rsidP="00B77302">
      <w:pPr>
        <w:pStyle w:val="NoSpacing"/>
        <w:numPr>
          <w:ilvl w:val="0"/>
          <w:numId w:val="9"/>
        </w:numPr>
      </w:pPr>
      <w:r>
        <w:t>T</w:t>
      </w:r>
      <w:r w:rsidR="000273E5">
        <w:t>here are over 3,300 households on the City Council’s Housing Register.</w:t>
      </w:r>
    </w:p>
    <w:p w:rsidR="000273E5" w:rsidRDefault="000273E5" w:rsidP="00B77302">
      <w:pPr>
        <w:pStyle w:val="NoSpacing"/>
        <w:numPr>
          <w:ilvl w:val="0"/>
          <w:numId w:val="9"/>
        </w:numPr>
      </w:pPr>
      <w:r>
        <w:t xml:space="preserve">7,702 families are overcrowded by housing circumstances (Local Insight 17/01/17). </w:t>
      </w:r>
    </w:p>
    <w:p w:rsidR="000273E5" w:rsidRDefault="000273E5" w:rsidP="00B77302">
      <w:pPr>
        <w:pStyle w:val="NoSpacing"/>
        <w:numPr>
          <w:ilvl w:val="0"/>
          <w:numId w:val="9"/>
        </w:numPr>
      </w:pPr>
      <w:r>
        <w:t>Homelessness pressures are increasing, with over 100 households per month approaching the Council as homeless and requesting assistance.  Street Counts of rough sleepers also show high and sustained levels of rough sleeping in the city.</w:t>
      </w:r>
    </w:p>
    <w:p w:rsidR="00B77302" w:rsidRDefault="00B77302" w:rsidP="00B77302">
      <w:pPr>
        <w:pStyle w:val="NoSpacing"/>
      </w:pPr>
    </w:p>
    <w:p w:rsidR="00872469" w:rsidRDefault="00872469" w:rsidP="00B77302">
      <w:pPr>
        <w:pStyle w:val="NoSpacing"/>
      </w:pPr>
      <w:r w:rsidRPr="00872469">
        <w:t xml:space="preserve">Rising rents, without a corresponding increase in housing support, means that the number of households that turn to </w:t>
      </w:r>
      <w:r w:rsidR="00B77302">
        <w:t xml:space="preserve">the Council </w:t>
      </w:r>
      <w:r w:rsidRPr="00872469">
        <w:t>for housing support will increase. This will have a knock-on impact on temporary accommodation and homelessness support costs.</w:t>
      </w:r>
      <w:r w:rsidR="00B77302">
        <w:t xml:space="preserve"> As such work to safeguard tenancies is essential in reducing this demand.</w:t>
      </w:r>
    </w:p>
    <w:p w:rsidR="00123E3D" w:rsidRDefault="00123E3D" w:rsidP="00B77302">
      <w:pPr>
        <w:pStyle w:val="NoSpacing"/>
      </w:pPr>
    </w:p>
    <w:p w:rsidR="00123E3D" w:rsidRPr="00B77302" w:rsidRDefault="00123E3D" w:rsidP="00123E3D">
      <w:pPr>
        <w:pStyle w:val="NoSpacing"/>
        <w:rPr>
          <w:b/>
        </w:rPr>
      </w:pPr>
      <w:r w:rsidRPr="00B77302">
        <w:rPr>
          <w:b/>
        </w:rPr>
        <w:t>Fuel Poverty</w:t>
      </w:r>
    </w:p>
    <w:p w:rsidR="00736568" w:rsidRDefault="00736568" w:rsidP="00736568">
      <w:pPr>
        <w:pStyle w:val="NoSpacing"/>
      </w:pPr>
      <w:r>
        <w:t>Broadly fuel poverty has three influencing factors - low household income, poor energy efficiency of home (higher energy bills) and high energy prices (which also mean energy bills are higher).  If someone has to spend a lot of time in their home, this makes it more likely that they may struggle with energy bills and heating their home to a healthy temperature.</w:t>
      </w:r>
    </w:p>
    <w:p w:rsidR="00736568" w:rsidRDefault="00736568" w:rsidP="00736568">
      <w:pPr>
        <w:pStyle w:val="NoSpacing"/>
      </w:pPr>
      <w:r>
        <w:t xml:space="preserve">                                                                                                                      </w:t>
      </w:r>
    </w:p>
    <w:p w:rsidR="00736568" w:rsidRDefault="00736568" w:rsidP="00736568">
      <w:pPr>
        <w:pStyle w:val="NoSpacing"/>
      </w:pPr>
      <w:r>
        <w:t>The government’s Low Income High Cost (LIHC) indicator models where residents have fuel costs above average (i.e. energy inefficient home) and were they to spend that amount, they would be left with a residual income below the official poverty line.</w:t>
      </w:r>
    </w:p>
    <w:p w:rsidR="00736568" w:rsidRDefault="00736568" w:rsidP="00736568">
      <w:pPr>
        <w:pStyle w:val="NoSpacing"/>
      </w:pPr>
    </w:p>
    <w:p w:rsidR="00736568" w:rsidRDefault="00736568" w:rsidP="00736568">
      <w:pPr>
        <w:pStyle w:val="NoSpacing"/>
      </w:pPr>
      <w:r>
        <w:t xml:space="preserve">According to the 2015 LIHC indicator, England has an average of 11.0% of households in fuel poverty, the South East 9.4% and Oxfordshire’s average is 9.6%.  The rate varies across the county: Cherwell is 9.3%, and South Oxfordshire is 8.5%, Vale of White Horse is 8.4%, West Oxfordshire 8.7% and Oxford is by the far the highest at 12.8%. </w:t>
      </w:r>
    </w:p>
    <w:p w:rsidR="00736568" w:rsidRDefault="00736568" w:rsidP="00736568">
      <w:pPr>
        <w:pStyle w:val="NoSpacing"/>
      </w:pPr>
    </w:p>
    <w:p w:rsidR="002351AB" w:rsidRDefault="00736568" w:rsidP="00736568">
      <w:pPr>
        <w:pStyle w:val="NoSpacing"/>
      </w:pPr>
      <w:r>
        <w:t>In their Fuel Poverty Strategy, the government showed the importance of energy efficient homes in addressing fuel poverty with a target to “</w:t>
      </w:r>
      <w:r w:rsidR="005F522E">
        <w:t xml:space="preserve">ensure </w:t>
      </w:r>
      <w:r>
        <w:t>that as many fuel poor homes as is reasonably practicable achieve a minimum energy efficiency standard of Band C in their Energy Performance Certificate, by 2030.”  Energy Performance Certificates rate properties that are being rented out or sold on their energy efficiency.  Energy Company Obligation (ECO) funding, an obligation put on energy companies by the government to finance the energy efficiency of properties, is therefore now targeted at residents considered to be in fuel poverty.</w:t>
      </w:r>
    </w:p>
    <w:p w:rsidR="00157877" w:rsidRDefault="00157877" w:rsidP="00736568">
      <w:pPr>
        <w:pStyle w:val="NoSpacing"/>
      </w:pPr>
    </w:p>
    <w:p w:rsidR="00157877" w:rsidRDefault="00157877" w:rsidP="00157877">
      <w:pPr>
        <w:pStyle w:val="NoSpacing"/>
      </w:pPr>
      <w:r>
        <w:t xml:space="preserve">Fuel poverty work has focused on two core areas; improving the insulation of properties and provision of advice and targeting of funding to people on low incomes. </w:t>
      </w:r>
    </w:p>
    <w:p w:rsidR="00157877" w:rsidRDefault="00157877" w:rsidP="00157877">
      <w:pPr>
        <w:pStyle w:val="NoSpacing"/>
      </w:pPr>
    </w:p>
    <w:p w:rsidR="00B77302" w:rsidRPr="00910E44" w:rsidRDefault="00910E44" w:rsidP="00B77302">
      <w:pPr>
        <w:pStyle w:val="NoSpacing"/>
        <w:rPr>
          <w:b/>
        </w:rPr>
      </w:pPr>
      <w:r w:rsidRPr="00910E44">
        <w:rPr>
          <w:b/>
        </w:rPr>
        <w:lastRenderedPageBreak/>
        <w:t>Living Costs</w:t>
      </w:r>
    </w:p>
    <w:p w:rsidR="000454D4" w:rsidRDefault="000454D4" w:rsidP="00B77302">
      <w:pPr>
        <w:pStyle w:val="NoSpacing"/>
      </w:pPr>
      <w:r>
        <w:t>The poverty premium is widely defined as the increased costs paid for essential</w:t>
      </w:r>
    </w:p>
    <w:p w:rsidR="000454D4" w:rsidRDefault="000454D4" w:rsidP="00B77302">
      <w:pPr>
        <w:pStyle w:val="NoSpacing"/>
      </w:pPr>
      <w:proofErr w:type="gramStart"/>
      <w:r>
        <w:t>goods</w:t>
      </w:r>
      <w:proofErr w:type="gramEnd"/>
      <w:r>
        <w:t xml:space="preserve"> and services by those on low incomes (Toynbee Hall 2014). </w:t>
      </w:r>
      <w:r w:rsidR="002351AB">
        <w:t>A</w:t>
      </w:r>
      <w:r>
        <w:t xml:space="preserve"> </w:t>
      </w:r>
      <w:r w:rsidR="002351AB">
        <w:t xml:space="preserve">2016 Toynbee Hall report showed that users of their advice service </w:t>
      </w:r>
      <w:r>
        <w:t>paid an average p</w:t>
      </w:r>
      <w:r w:rsidR="002351AB">
        <w:t>overty premium of £324 per year.</w:t>
      </w:r>
      <w:r>
        <w:t xml:space="preserve"> </w:t>
      </w:r>
      <w:r w:rsidR="002351AB">
        <w:t>A</w:t>
      </w:r>
      <w:r>
        <w:t xml:space="preserve"> study (Davies et al 2016) which takes into account more types of </w:t>
      </w:r>
      <w:r w:rsidR="002351AB">
        <w:t>households</w:t>
      </w:r>
      <w:r>
        <w:t xml:space="preserve"> suggests that the premium is £490 per year for low-income households (not necessarily in debt). The poverty premium accounts for 7% of the participants’ average household income</w:t>
      </w:r>
    </w:p>
    <w:p w:rsidR="000454D4" w:rsidRDefault="000454D4" w:rsidP="00B77302">
      <w:pPr>
        <w:pStyle w:val="NoSpacing"/>
      </w:pPr>
      <w:proofErr w:type="gramStart"/>
      <w:r>
        <w:t>after</w:t>
      </w:r>
      <w:proofErr w:type="gramEnd"/>
      <w:r>
        <w:t xml:space="preserve"> deducting housing costs.</w:t>
      </w:r>
    </w:p>
    <w:p w:rsidR="000454D4" w:rsidRDefault="000454D4" w:rsidP="00B77302">
      <w:pPr>
        <w:pStyle w:val="NoSpacing"/>
      </w:pPr>
    </w:p>
    <w:p w:rsidR="00436639" w:rsidRDefault="002351AB" w:rsidP="000454D4">
      <w:pPr>
        <w:pStyle w:val="NoSpacing"/>
      </w:pPr>
      <w:r>
        <w:t>The Oxford City Council residents</w:t>
      </w:r>
      <w:r w:rsidR="005F522E">
        <w:t>’</w:t>
      </w:r>
      <w:r>
        <w:t xml:space="preserve"> survey (2016/17) asks a number of questions about financial security. A question about the impact of the economic climate shows that r</w:t>
      </w:r>
      <w:r w:rsidR="000454D4" w:rsidRPr="000454D4">
        <w:t>esidents are most likely to feel that th</w:t>
      </w:r>
      <w:r>
        <w:t>is</w:t>
      </w:r>
      <w:r w:rsidR="000454D4" w:rsidRPr="000454D4">
        <w:t xml:space="preserve"> has affected their ability to buy or move home (28%), with the number of residents feeling this way increasing significantly since 2014/15 (23%).</w:t>
      </w:r>
      <w:r>
        <w:t xml:space="preserve"> </w:t>
      </w:r>
      <w:r w:rsidR="000454D4" w:rsidRPr="000454D4">
        <w:t>In comparison to 2014/15 fewer residents feel that they have difficulties paying fuel and energy bills as</w:t>
      </w:r>
      <w:r w:rsidR="005F522E">
        <w:t xml:space="preserve"> a</w:t>
      </w:r>
      <w:r w:rsidR="000454D4" w:rsidRPr="000454D4">
        <w:t xml:space="preserve"> consequence of the economic climate (17% vs. 13% this year), that they may have difficulties affording to buy food (11% vs. 6% this year), or difficulties paying for childcare (8% to 5%).</w:t>
      </w:r>
      <w:r>
        <w:t xml:space="preserve"> </w:t>
      </w:r>
      <w:r w:rsidR="00436639">
        <w:t xml:space="preserve">Difficulties repaying loans has increased from 8 to 10%, whilst difficulties accessing credit has reduced </w:t>
      </w:r>
      <w:r>
        <w:t>from</w:t>
      </w:r>
      <w:r w:rsidR="00436639">
        <w:t xml:space="preserve"> 7 to 5%</w:t>
      </w:r>
      <w:r w:rsidR="005F522E">
        <w:t>.</w:t>
      </w:r>
    </w:p>
    <w:p w:rsidR="00436639" w:rsidRDefault="00436639" w:rsidP="000454D4">
      <w:pPr>
        <w:pStyle w:val="NoSpacing"/>
      </w:pPr>
    </w:p>
    <w:p w:rsidR="00271649" w:rsidRPr="00271649" w:rsidRDefault="00271649" w:rsidP="00271649">
      <w:pPr>
        <w:pStyle w:val="NoSpacing"/>
        <w:rPr>
          <w:b/>
        </w:rPr>
      </w:pPr>
      <w:r w:rsidRPr="00271649">
        <w:rPr>
          <w:b/>
        </w:rPr>
        <w:t>Skills</w:t>
      </w:r>
    </w:p>
    <w:p w:rsidR="00271649" w:rsidRDefault="00271649" w:rsidP="00271649">
      <w:pPr>
        <w:pStyle w:val="NoSpacing"/>
      </w:pPr>
      <w:r>
        <w:t>Employment is very high in Oxford, with only 0.5% of the population claiming Jobseekers Allowance, compared to the national average of 1.1%</w:t>
      </w:r>
      <w:r w:rsidR="00A55BD7">
        <w:t xml:space="preserve"> </w:t>
      </w:r>
      <w:r>
        <w:t xml:space="preserve">(November 2016, DWP). Whilst Oxford has a highly skilled workforce, with a high proportion of residents holding degrees (60.9%), there </w:t>
      </w:r>
      <w:proofErr w:type="gramStart"/>
      <w:r w:rsidR="00A55BD7">
        <w:t>is</w:t>
      </w:r>
      <w:proofErr w:type="gramEnd"/>
      <w:r w:rsidR="00A55BD7">
        <w:t xml:space="preserve"> </w:t>
      </w:r>
      <w:r>
        <w:t xml:space="preserve">also a significant proportion of residents </w:t>
      </w:r>
      <w:r w:rsidR="00A55BD7">
        <w:t xml:space="preserve">who have </w:t>
      </w:r>
      <w:r>
        <w:t>no educational or skills qualifications (4.2%)</w:t>
      </w:r>
      <w:r w:rsidR="00A55BD7">
        <w:t>. A</w:t>
      </w:r>
      <w:r>
        <w:t xml:space="preserve">ttainment levels of pupils in state schools are significantly lower than the regional and national average. </w:t>
      </w:r>
    </w:p>
    <w:p w:rsidR="00271649" w:rsidRDefault="00271649" w:rsidP="00271649">
      <w:pPr>
        <w:pStyle w:val="NoSpacing"/>
      </w:pPr>
    </w:p>
    <w:p w:rsidR="00271649" w:rsidRDefault="00271649" w:rsidP="00271649">
      <w:pPr>
        <w:pStyle w:val="NoSpacing"/>
      </w:pPr>
      <w:r>
        <w:t>Job opportunities are plentiful in Oxford, where there are 1.17 jobs available per resident (ONS 2015). There are lots of employment opportunities available in the new Westgate development (3,000 full time equivalent positions) and through the Council’s own housebuilding programme. This means with the right support, people facing financial exclusion can both move into, and progress in employment.</w:t>
      </w:r>
    </w:p>
    <w:p w:rsidR="000454D4" w:rsidRPr="00E33BF5" w:rsidRDefault="000454D4" w:rsidP="000454D4">
      <w:pPr>
        <w:pStyle w:val="NoSpacing"/>
      </w:pPr>
    </w:p>
    <w:p w:rsidR="00790884" w:rsidRDefault="00790884" w:rsidP="00790884">
      <w:pPr>
        <w:pStyle w:val="Default"/>
        <w:rPr>
          <w:sz w:val="23"/>
          <w:szCs w:val="23"/>
        </w:rPr>
      </w:pPr>
      <w:r>
        <w:rPr>
          <w:b/>
          <w:bCs/>
          <w:sz w:val="23"/>
          <w:szCs w:val="23"/>
        </w:rPr>
        <w:t xml:space="preserve">THEMES </w:t>
      </w:r>
    </w:p>
    <w:p w:rsidR="00790884" w:rsidRDefault="00790884" w:rsidP="00790884">
      <w:pPr>
        <w:pStyle w:val="Default"/>
        <w:rPr>
          <w:sz w:val="22"/>
          <w:szCs w:val="22"/>
        </w:rPr>
      </w:pPr>
      <w:r>
        <w:rPr>
          <w:sz w:val="22"/>
          <w:szCs w:val="22"/>
        </w:rPr>
        <w:t xml:space="preserve">In reviewing the </w:t>
      </w:r>
      <w:r w:rsidR="00F4509F">
        <w:rPr>
          <w:sz w:val="22"/>
          <w:szCs w:val="22"/>
        </w:rPr>
        <w:t>FIS</w:t>
      </w:r>
      <w:r>
        <w:rPr>
          <w:sz w:val="22"/>
          <w:szCs w:val="22"/>
        </w:rPr>
        <w:t xml:space="preserve"> consideration has been given to the </w:t>
      </w:r>
      <w:r w:rsidR="00F4509F">
        <w:rPr>
          <w:sz w:val="22"/>
          <w:szCs w:val="22"/>
        </w:rPr>
        <w:t xml:space="preserve">nature of the </w:t>
      </w:r>
      <w:r>
        <w:rPr>
          <w:sz w:val="22"/>
          <w:szCs w:val="22"/>
        </w:rPr>
        <w:t xml:space="preserve">themes, and the Council has determined that the four themes from the 2014-17 </w:t>
      </w:r>
      <w:r w:rsidR="00F4509F">
        <w:rPr>
          <w:sz w:val="22"/>
          <w:szCs w:val="22"/>
        </w:rPr>
        <w:t>Strategy</w:t>
      </w:r>
      <w:r>
        <w:rPr>
          <w:sz w:val="22"/>
          <w:szCs w:val="22"/>
        </w:rPr>
        <w:t xml:space="preserve"> are still relevant, and will be maintained</w:t>
      </w:r>
      <w:r w:rsidR="00A55BD7">
        <w:rPr>
          <w:sz w:val="22"/>
          <w:szCs w:val="22"/>
        </w:rPr>
        <w:t>.</w:t>
      </w:r>
      <w:r>
        <w:rPr>
          <w:sz w:val="22"/>
          <w:szCs w:val="22"/>
        </w:rPr>
        <w:t xml:space="preserve"> </w:t>
      </w:r>
    </w:p>
    <w:p w:rsidR="00790884" w:rsidRDefault="00790884" w:rsidP="00790884">
      <w:pPr>
        <w:pStyle w:val="Default"/>
        <w:rPr>
          <w:sz w:val="22"/>
          <w:szCs w:val="22"/>
        </w:rPr>
      </w:pPr>
      <w:r>
        <w:rPr>
          <w:sz w:val="22"/>
          <w:szCs w:val="22"/>
        </w:rPr>
        <w:t xml:space="preserve">• </w:t>
      </w:r>
      <w:r w:rsidRPr="003265EE">
        <w:rPr>
          <w:b/>
          <w:sz w:val="22"/>
          <w:szCs w:val="22"/>
        </w:rPr>
        <w:t>Debt</w:t>
      </w:r>
      <w:r>
        <w:rPr>
          <w:sz w:val="22"/>
          <w:szCs w:val="22"/>
        </w:rPr>
        <w:t>, (</w:t>
      </w:r>
      <w:r w:rsidR="00A55BD7">
        <w:rPr>
          <w:sz w:val="22"/>
          <w:szCs w:val="22"/>
        </w:rPr>
        <w:t xml:space="preserve">including provision </w:t>
      </w:r>
      <w:r>
        <w:rPr>
          <w:sz w:val="22"/>
          <w:szCs w:val="22"/>
        </w:rPr>
        <w:t xml:space="preserve">of </w:t>
      </w:r>
      <w:r w:rsidR="00A55BD7">
        <w:rPr>
          <w:sz w:val="22"/>
          <w:szCs w:val="22"/>
        </w:rPr>
        <w:t xml:space="preserve">advice </w:t>
      </w:r>
      <w:r>
        <w:rPr>
          <w:sz w:val="22"/>
          <w:szCs w:val="22"/>
        </w:rPr>
        <w:t xml:space="preserve">and </w:t>
      </w:r>
      <w:r w:rsidR="00A55BD7">
        <w:rPr>
          <w:sz w:val="22"/>
          <w:szCs w:val="22"/>
        </w:rPr>
        <w:t xml:space="preserve">access </w:t>
      </w:r>
      <w:r>
        <w:rPr>
          <w:sz w:val="22"/>
          <w:szCs w:val="22"/>
        </w:rPr>
        <w:t xml:space="preserve">to </w:t>
      </w:r>
      <w:r w:rsidR="00A55BD7">
        <w:rPr>
          <w:sz w:val="22"/>
          <w:szCs w:val="22"/>
        </w:rPr>
        <w:t>financial services</w:t>
      </w:r>
      <w:r>
        <w:rPr>
          <w:sz w:val="22"/>
          <w:szCs w:val="22"/>
        </w:rPr>
        <w:t xml:space="preserve">) </w:t>
      </w:r>
    </w:p>
    <w:p w:rsidR="00790884" w:rsidRDefault="00790884" w:rsidP="00790884">
      <w:pPr>
        <w:pStyle w:val="Default"/>
        <w:rPr>
          <w:sz w:val="22"/>
          <w:szCs w:val="22"/>
        </w:rPr>
      </w:pPr>
      <w:r>
        <w:rPr>
          <w:sz w:val="22"/>
          <w:szCs w:val="22"/>
        </w:rPr>
        <w:t xml:space="preserve">• </w:t>
      </w:r>
      <w:r w:rsidRPr="003265EE">
        <w:rPr>
          <w:b/>
          <w:sz w:val="22"/>
          <w:szCs w:val="22"/>
        </w:rPr>
        <w:t>Income</w:t>
      </w:r>
      <w:r>
        <w:rPr>
          <w:sz w:val="22"/>
          <w:szCs w:val="22"/>
        </w:rPr>
        <w:t xml:space="preserve"> (</w:t>
      </w:r>
      <w:r w:rsidR="00A55BD7">
        <w:rPr>
          <w:sz w:val="22"/>
          <w:szCs w:val="22"/>
        </w:rPr>
        <w:t>including benefit entitlement</w:t>
      </w:r>
      <w:r>
        <w:rPr>
          <w:sz w:val="22"/>
          <w:szCs w:val="22"/>
        </w:rPr>
        <w:t xml:space="preserve">, and </w:t>
      </w:r>
      <w:r w:rsidR="00A55BD7">
        <w:rPr>
          <w:sz w:val="22"/>
          <w:szCs w:val="22"/>
        </w:rPr>
        <w:t>budgeting support</w:t>
      </w:r>
      <w:r>
        <w:rPr>
          <w:sz w:val="22"/>
          <w:szCs w:val="22"/>
        </w:rPr>
        <w:t xml:space="preserve">) </w:t>
      </w:r>
    </w:p>
    <w:p w:rsidR="00790884" w:rsidRDefault="00790884" w:rsidP="00790884">
      <w:pPr>
        <w:pStyle w:val="Default"/>
        <w:rPr>
          <w:sz w:val="22"/>
          <w:szCs w:val="22"/>
        </w:rPr>
      </w:pPr>
      <w:r>
        <w:rPr>
          <w:sz w:val="22"/>
          <w:szCs w:val="22"/>
        </w:rPr>
        <w:t xml:space="preserve">• </w:t>
      </w:r>
      <w:r w:rsidRPr="003265EE">
        <w:rPr>
          <w:b/>
          <w:sz w:val="22"/>
          <w:szCs w:val="22"/>
        </w:rPr>
        <w:t xml:space="preserve">Housing </w:t>
      </w:r>
      <w:r>
        <w:rPr>
          <w:sz w:val="22"/>
          <w:szCs w:val="22"/>
        </w:rPr>
        <w:t>(</w:t>
      </w:r>
      <w:r w:rsidR="00A55BD7">
        <w:rPr>
          <w:sz w:val="22"/>
          <w:szCs w:val="22"/>
        </w:rPr>
        <w:t>including affordable warmth</w:t>
      </w:r>
      <w:r>
        <w:rPr>
          <w:sz w:val="22"/>
          <w:szCs w:val="22"/>
        </w:rPr>
        <w:t xml:space="preserve">, Discretionary Housing Payments and </w:t>
      </w:r>
      <w:r w:rsidR="00A55BD7">
        <w:rPr>
          <w:sz w:val="22"/>
          <w:szCs w:val="22"/>
        </w:rPr>
        <w:t>tenant support</w:t>
      </w:r>
      <w:r>
        <w:rPr>
          <w:sz w:val="22"/>
          <w:szCs w:val="22"/>
        </w:rPr>
        <w:t xml:space="preserve">) </w:t>
      </w:r>
    </w:p>
    <w:p w:rsidR="00790884" w:rsidRDefault="00790884" w:rsidP="00790884">
      <w:pPr>
        <w:pStyle w:val="Default"/>
        <w:rPr>
          <w:sz w:val="22"/>
          <w:szCs w:val="22"/>
        </w:rPr>
      </w:pPr>
      <w:r>
        <w:rPr>
          <w:sz w:val="22"/>
          <w:szCs w:val="22"/>
        </w:rPr>
        <w:t xml:space="preserve">• </w:t>
      </w:r>
      <w:r w:rsidRPr="003265EE">
        <w:rPr>
          <w:b/>
          <w:sz w:val="22"/>
          <w:szCs w:val="22"/>
        </w:rPr>
        <w:t>Skills</w:t>
      </w:r>
      <w:r>
        <w:rPr>
          <w:sz w:val="22"/>
          <w:szCs w:val="22"/>
        </w:rPr>
        <w:t xml:space="preserve"> (</w:t>
      </w:r>
      <w:r w:rsidR="00A55BD7">
        <w:rPr>
          <w:sz w:val="22"/>
          <w:szCs w:val="22"/>
        </w:rPr>
        <w:t>work readiness</w:t>
      </w:r>
      <w:r>
        <w:rPr>
          <w:sz w:val="22"/>
          <w:szCs w:val="22"/>
        </w:rPr>
        <w:t xml:space="preserve">, </w:t>
      </w:r>
      <w:r w:rsidR="00A55BD7">
        <w:rPr>
          <w:sz w:val="22"/>
          <w:szCs w:val="22"/>
        </w:rPr>
        <w:t>training</w:t>
      </w:r>
      <w:r>
        <w:rPr>
          <w:sz w:val="22"/>
          <w:szCs w:val="22"/>
        </w:rPr>
        <w:t xml:space="preserve">, </w:t>
      </w:r>
      <w:r w:rsidR="00A55BD7">
        <w:rPr>
          <w:sz w:val="22"/>
          <w:szCs w:val="22"/>
        </w:rPr>
        <w:t>digital access</w:t>
      </w:r>
      <w:r>
        <w:rPr>
          <w:sz w:val="22"/>
          <w:szCs w:val="22"/>
        </w:rPr>
        <w:t xml:space="preserve">) </w:t>
      </w:r>
    </w:p>
    <w:p w:rsidR="00790884" w:rsidRDefault="00790884" w:rsidP="00790884">
      <w:pPr>
        <w:pStyle w:val="Default"/>
        <w:rPr>
          <w:sz w:val="22"/>
          <w:szCs w:val="22"/>
        </w:rPr>
      </w:pPr>
    </w:p>
    <w:p w:rsidR="00790884" w:rsidRDefault="00790884" w:rsidP="00790884">
      <w:pPr>
        <w:pStyle w:val="Default"/>
        <w:rPr>
          <w:sz w:val="22"/>
          <w:szCs w:val="22"/>
        </w:rPr>
      </w:pPr>
      <w:r>
        <w:rPr>
          <w:sz w:val="22"/>
          <w:szCs w:val="22"/>
        </w:rPr>
        <w:t xml:space="preserve">Work undertaken in furtherance of these aims is designed to achieve the following short term and longer term outcomes. </w:t>
      </w:r>
    </w:p>
    <w:p w:rsidR="00FC024A" w:rsidRDefault="00FC024A" w:rsidP="00790884">
      <w:pPr>
        <w:pStyle w:val="Default"/>
        <w:rPr>
          <w:sz w:val="22"/>
          <w:szCs w:val="22"/>
        </w:rPr>
      </w:pPr>
    </w:p>
    <w:p w:rsidR="00790884" w:rsidRDefault="00790884" w:rsidP="00790884">
      <w:pPr>
        <w:pStyle w:val="Default"/>
        <w:rPr>
          <w:sz w:val="22"/>
          <w:szCs w:val="22"/>
        </w:rPr>
      </w:pPr>
      <w:r>
        <w:rPr>
          <w:b/>
          <w:bCs/>
          <w:i/>
          <w:iCs/>
          <w:sz w:val="22"/>
          <w:szCs w:val="22"/>
        </w:rPr>
        <w:t xml:space="preserve">DEBT </w:t>
      </w:r>
    </w:p>
    <w:p w:rsidR="00790884" w:rsidRDefault="00790884" w:rsidP="00790884">
      <w:pPr>
        <w:pStyle w:val="Default"/>
        <w:rPr>
          <w:i/>
          <w:iCs/>
          <w:sz w:val="22"/>
          <w:szCs w:val="22"/>
        </w:rPr>
      </w:pPr>
      <w:r>
        <w:rPr>
          <w:i/>
          <w:iCs/>
          <w:sz w:val="22"/>
          <w:szCs w:val="22"/>
        </w:rPr>
        <w:t xml:space="preserve">Short Term </w:t>
      </w:r>
    </w:p>
    <w:p w:rsidR="00A55BD7" w:rsidRDefault="00A55BD7" w:rsidP="00790884">
      <w:pPr>
        <w:pStyle w:val="Default"/>
        <w:rPr>
          <w:sz w:val="22"/>
          <w:szCs w:val="22"/>
        </w:rPr>
      </w:pPr>
      <w:r>
        <w:rPr>
          <w:i/>
          <w:iCs/>
          <w:sz w:val="22"/>
          <w:szCs w:val="22"/>
        </w:rPr>
        <w:t>Residents will</w:t>
      </w:r>
    </w:p>
    <w:p w:rsidR="00790884" w:rsidRDefault="00790884" w:rsidP="003C1789">
      <w:pPr>
        <w:pStyle w:val="Default"/>
        <w:numPr>
          <w:ilvl w:val="0"/>
          <w:numId w:val="16"/>
        </w:numPr>
        <w:rPr>
          <w:sz w:val="22"/>
          <w:szCs w:val="22"/>
        </w:rPr>
      </w:pPr>
      <w:r>
        <w:rPr>
          <w:sz w:val="22"/>
          <w:szCs w:val="22"/>
        </w:rPr>
        <w:t>know where to access information and advice, and will be able to access these services through their preferred channel</w:t>
      </w:r>
      <w:r w:rsidR="00A55BD7">
        <w:rPr>
          <w:sz w:val="22"/>
          <w:szCs w:val="22"/>
        </w:rPr>
        <w:t>;</w:t>
      </w:r>
    </w:p>
    <w:p w:rsidR="00790884" w:rsidRPr="00FC024A" w:rsidRDefault="00790884" w:rsidP="00790884">
      <w:pPr>
        <w:pStyle w:val="Default"/>
        <w:numPr>
          <w:ilvl w:val="0"/>
          <w:numId w:val="16"/>
        </w:numPr>
        <w:rPr>
          <w:sz w:val="22"/>
          <w:szCs w:val="22"/>
        </w:rPr>
      </w:pPr>
      <w:proofErr w:type="gramStart"/>
      <w:r w:rsidRPr="00FC024A">
        <w:rPr>
          <w:sz w:val="22"/>
          <w:szCs w:val="22"/>
        </w:rPr>
        <w:t>be</w:t>
      </w:r>
      <w:proofErr w:type="gramEnd"/>
      <w:r w:rsidRPr="00FC024A">
        <w:rPr>
          <w:sz w:val="22"/>
          <w:szCs w:val="22"/>
        </w:rPr>
        <w:t xml:space="preserve"> able to seek free advice about their debts and be supported to make affordable repayment plans</w:t>
      </w:r>
      <w:r w:rsidR="00A55BD7">
        <w:rPr>
          <w:sz w:val="22"/>
          <w:szCs w:val="22"/>
        </w:rPr>
        <w:t>.</w:t>
      </w:r>
      <w:r w:rsidRPr="00FC024A">
        <w:rPr>
          <w:sz w:val="22"/>
          <w:szCs w:val="22"/>
        </w:rPr>
        <w:t xml:space="preserve"> </w:t>
      </w:r>
    </w:p>
    <w:p w:rsidR="00E86DE1" w:rsidRDefault="00E86DE1" w:rsidP="009701A0">
      <w:pPr>
        <w:pStyle w:val="Default"/>
        <w:rPr>
          <w:i/>
          <w:iCs/>
          <w:sz w:val="22"/>
          <w:szCs w:val="22"/>
        </w:rPr>
      </w:pPr>
    </w:p>
    <w:p w:rsidR="00E86DE1" w:rsidRDefault="00E86DE1" w:rsidP="009701A0">
      <w:pPr>
        <w:pStyle w:val="Default"/>
        <w:rPr>
          <w:i/>
          <w:iCs/>
          <w:sz w:val="22"/>
          <w:szCs w:val="22"/>
        </w:rPr>
      </w:pPr>
    </w:p>
    <w:p w:rsidR="009701A0" w:rsidRDefault="00790884" w:rsidP="009701A0">
      <w:pPr>
        <w:pStyle w:val="Default"/>
        <w:rPr>
          <w:i/>
          <w:iCs/>
          <w:sz w:val="22"/>
          <w:szCs w:val="22"/>
        </w:rPr>
      </w:pPr>
      <w:r>
        <w:rPr>
          <w:i/>
          <w:iCs/>
          <w:sz w:val="22"/>
          <w:szCs w:val="22"/>
        </w:rPr>
        <w:lastRenderedPageBreak/>
        <w:t xml:space="preserve">Long Term </w:t>
      </w:r>
    </w:p>
    <w:p w:rsidR="00A55BD7" w:rsidRDefault="00A55BD7" w:rsidP="009701A0">
      <w:pPr>
        <w:pStyle w:val="Default"/>
        <w:rPr>
          <w:i/>
          <w:iCs/>
          <w:sz w:val="22"/>
          <w:szCs w:val="22"/>
        </w:rPr>
      </w:pPr>
      <w:r>
        <w:rPr>
          <w:i/>
          <w:iCs/>
          <w:sz w:val="22"/>
          <w:szCs w:val="22"/>
        </w:rPr>
        <w:t>Resident</w:t>
      </w:r>
      <w:r w:rsidR="00C97921">
        <w:rPr>
          <w:i/>
          <w:iCs/>
          <w:sz w:val="22"/>
          <w:szCs w:val="22"/>
        </w:rPr>
        <w:t>s</w:t>
      </w:r>
      <w:r>
        <w:rPr>
          <w:i/>
          <w:iCs/>
          <w:sz w:val="22"/>
          <w:szCs w:val="22"/>
        </w:rPr>
        <w:t xml:space="preserve"> will have increased</w:t>
      </w:r>
    </w:p>
    <w:p w:rsidR="00790884" w:rsidRPr="009701A0" w:rsidRDefault="00790884" w:rsidP="009701A0">
      <w:pPr>
        <w:pStyle w:val="Default"/>
        <w:numPr>
          <w:ilvl w:val="0"/>
          <w:numId w:val="23"/>
        </w:numPr>
        <w:rPr>
          <w:sz w:val="18"/>
          <w:szCs w:val="18"/>
        </w:rPr>
      </w:pPr>
      <w:r w:rsidRPr="009701A0">
        <w:rPr>
          <w:sz w:val="22"/>
          <w:szCs w:val="22"/>
        </w:rPr>
        <w:t>ability and confidence in managing everyday finances including contracting with and changing utility companies</w:t>
      </w:r>
      <w:r w:rsidR="00A55BD7">
        <w:rPr>
          <w:sz w:val="22"/>
          <w:szCs w:val="22"/>
        </w:rPr>
        <w:t>;</w:t>
      </w:r>
    </w:p>
    <w:p w:rsidR="00A55BD7" w:rsidRDefault="00790884" w:rsidP="00A55BD7">
      <w:pPr>
        <w:pStyle w:val="Default"/>
        <w:numPr>
          <w:ilvl w:val="0"/>
          <w:numId w:val="23"/>
        </w:numPr>
        <w:rPr>
          <w:sz w:val="22"/>
          <w:szCs w:val="22"/>
        </w:rPr>
      </w:pPr>
      <w:r>
        <w:rPr>
          <w:sz w:val="22"/>
          <w:szCs w:val="22"/>
        </w:rPr>
        <w:t>knowledge and confidence in using financial services</w:t>
      </w:r>
      <w:r w:rsidR="00A55BD7">
        <w:rPr>
          <w:sz w:val="22"/>
          <w:szCs w:val="22"/>
        </w:rPr>
        <w:t>;</w:t>
      </w:r>
    </w:p>
    <w:p w:rsidR="00A55BD7" w:rsidRPr="00A55BD7" w:rsidRDefault="00A55BD7" w:rsidP="003265EE">
      <w:pPr>
        <w:pStyle w:val="Default"/>
        <w:ind w:left="720"/>
        <w:rPr>
          <w:sz w:val="22"/>
          <w:szCs w:val="22"/>
        </w:rPr>
      </w:pPr>
      <w:proofErr w:type="gramStart"/>
      <w:r>
        <w:rPr>
          <w:sz w:val="22"/>
          <w:szCs w:val="22"/>
        </w:rPr>
        <w:t>and</w:t>
      </w:r>
      <w:proofErr w:type="gramEnd"/>
    </w:p>
    <w:p w:rsidR="00790884" w:rsidRDefault="00A55BD7" w:rsidP="009701A0">
      <w:pPr>
        <w:pStyle w:val="Default"/>
        <w:numPr>
          <w:ilvl w:val="0"/>
          <w:numId w:val="23"/>
        </w:numPr>
        <w:rPr>
          <w:sz w:val="22"/>
          <w:szCs w:val="22"/>
        </w:rPr>
      </w:pPr>
      <w:proofErr w:type="gramStart"/>
      <w:r>
        <w:rPr>
          <w:sz w:val="22"/>
          <w:szCs w:val="22"/>
        </w:rPr>
        <w:t>council</w:t>
      </w:r>
      <w:proofErr w:type="gramEnd"/>
      <w:r>
        <w:rPr>
          <w:sz w:val="22"/>
          <w:szCs w:val="22"/>
        </w:rPr>
        <w:t xml:space="preserve"> </w:t>
      </w:r>
      <w:r w:rsidR="00790884">
        <w:rPr>
          <w:sz w:val="22"/>
          <w:szCs w:val="22"/>
        </w:rPr>
        <w:t>policies and processes will support the aims of the Financial Inclusion Strategy</w:t>
      </w:r>
      <w:r>
        <w:rPr>
          <w:sz w:val="22"/>
          <w:szCs w:val="22"/>
        </w:rPr>
        <w:t>.</w:t>
      </w:r>
      <w:r w:rsidR="00790884">
        <w:rPr>
          <w:sz w:val="22"/>
          <w:szCs w:val="22"/>
        </w:rPr>
        <w:t xml:space="preserve"> </w:t>
      </w:r>
    </w:p>
    <w:p w:rsidR="00790884" w:rsidRDefault="00790884" w:rsidP="00790884">
      <w:pPr>
        <w:pStyle w:val="Default"/>
        <w:rPr>
          <w:sz w:val="22"/>
          <w:szCs w:val="22"/>
        </w:rPr>
      </w:pPr>
    </w:p>
    <w:p w:rsidR="00790884" w:rsidRDefault="00790884" w:rsidP="00790884">
      <w:pPr>
        <w:pStyle w:val="Default"/>
        <w:rPr>
          <w:b/>
          <w:bCs/>
          <w:i/>
          <w:iCs/>
          <w:sz w:val="22"/>
          <w:szCs w:val="22"/>
        </w:rPr>
      </w:pPr>
      <w:r>
        <w:rPr>
          <w:b/>
          <w:bCs/>
          <w:i/>
          <w:iCs/>
          <w:sz w:val="22"/>
          <w:szCs w:val="22"/>
        </w:rPr>
        <w:t xml:space="preserve">INCOME </w:t>
      </w:r>
    </w:p>
    <w:p w:rsidR="00C97921" w:rsidRDefault="00790884" w:rsidP="00790884">
      <w:pPr>
        <w:pStyle w:val="Default"/>
        <w:rPr>
          <w:i/>
          <w:iCs/>
          <w:sz w:val="22"/>
          <w:szCs w:val="22"/>
        </w:rPr>
      </w:pPr>
      <w:r>
        <w:rPr>
          <w:i/>
          <w:iCs/>
          <w:sz w:val="22"/>
          <w:szCs w:val="22"/>
        </w:rPr>
        <w:t>Short Term</w:t>
      </w:r>
    </w:p>
    <w:p w:rsidR="00C97921" w:rsidRPr="003265EE" w:rsidRDefault="00C97921" w:rsidP="00C97921">
      <w:pPr>
        <w:pStyle w:val="Default"/>
        <w:rPr>
          <w:sz w:val="22"/>
          <w:szCs w:val="22"/>
        </w:rPr>
      </w:pPr>
      <w:r w:rsidRPr="003265EE">
        <w:rPr>
          <w:bCs/>
          <w:i/>
          <w:iCs/>
          <w:sz w:val="22"/>
          <w:szCs w:val="22"/>
        </w:rPr>
        <w:t>Residents will be</w:t>
      </w:r>
    </w:p>
    <w:p w:rsidR="00790884" w:rsidRPr="00FC024A" w:rsidRDefault="00790884" w:rsidP="00A55BD7">
      <w:pPr>
        <w:pStyle w:val="Default"/>
        <w:numPr>
          <w:ilvl w:val="0"/>
          <w:numId w:val="18"/>
        </w:numPr>
        <w:rPr>
          <w:sz w:val="22"/>
          <w:szCs w:val="22"/>
        </w:rPr>
      </w:pPr>
      <w:r>
        <w:rPr>
          <w:sz w:val="22"/>
          <w:szCs w:val="22"/>
        </w:rPr>
        <w:t>supported to claim the benefits to which they are entitled</w:t>
      </w:r>
      <w:r w:rsidR="00A55BD7">
        <w:rPr>
          <w:sz w:val="22"/>
          <w:szCs w:val="22"/>
        </w:rPr>
        <w:t>;</w:t>
      </w:r>
      <w:r>
        <w:rPr>
          <w:sz w:val="22"/>
          <w:szCs w:val="22"/>
        </w:rPr>
        <w:t xml:space="preserve"> supported to access emergency support when required</w:t>
      </w:r>
      <w:r w:rsidR="00A55BD7">
        <w:rPr>
          <w:sz w:val="22"/>
          <w:szCs w:val="22"/>
        </w:rPr>
        <w:t>;</w:t>
      </w:r>
      <w:r>
        <w:rPr>
          <w:sz w:val="22"/>
          <w:szCs w:val="22"/>
        </w:rPr>
        <w:t xml:space="preserve"> </w:t>
      </w:r>
      <w:r w:rsidR="00EA1C10" w:rsidRPr="00FC024A">
        <w:rPr>
          <w:sz w:val="22"/>
          <w:szCs w:val="22"/>
        </w:rPr>
        <w:t>able to access support to manage the migration to Universal Credit</w:t>
      </w:r>
      <w:r w:rsidR="00A55BD7">
        <w:rPr>
          <w:sz w:val="22"/>
          <w:szCs w:val="22"/>
        </w:rPr>
        <w:t>;</w:t>
      </w:r>
    </w:p>
    <w:p w:rsidR="00286EE4" w:rsidRDefault="00286EE4" w:rsidP="00C97921">
      <w:pPr>
        <w:pStyle w:val="Default"/>
        <w:rPr>
          <w:i/>
          <w:iCs/>
          <w:sz w:val="22"/>
          <w:szCs w:val="22"/>
        </w:rPr>
      </w:pPr>
    </w:p>
    <w:p w:rsidR="003265EE" w:rsidRDefault="00790884" w:rsidP="00C97921">
      <w:pPr>
        <w:pStyle w:val="Default"/>
        <w:rPr>
          <w:i/>
          <w:iCs/>
          <w:sz w:val="22"/>
          <w:szCs w:val="22"/>
        </w:rPr>
      </w:pPr>
      <w:r>
        <w:rPr>
          <w:i/>
          <w:iCs/>
          <w:sz w:val="22"/>
          <w:szCs w:val="22"/>
        </w:rPr>
        <w:t xml:space="preserve">Long Term </w:t>
      </w:r>
    </w:p>
    <w:p w:rsidR="00C97921" w:rsidRPr="003265EE" w:rsidRDefault="00C97921" w:rsidP="00C97921">
      <w:pPr>
        <w:pStyle w:val="Default"/>
        <w:rPr>
          <w:sz w:val="22"/>
          <w:szCs w:val="22"/>
        </w:rPr>
      </w:pPr>
      <w:r w:rsidRPr="003265EE">
        <w:rPr>
          <w:bCs/>
          <w:i/>
          <w:iCs/>
          <w:sz w:val="22"/>
          <w:szCs w:val="22"/>
        </w:rPr>
        <w:t>Residents will be</w:t>
      </w:r>
    </w:p>
    <w:p w:rsidR="00790884" w:rsidRDefault="00790884" w:rsidP="003265EE">
      <w:pPr>
        <w:pStyle w:val="Default"/>
        <w:numPr>
          <w:ilvl w:val="0"/>
          <w:numId w:val="18"/>
        </w:numPr>
        <w:rPr>
          <w:sz w:val="22"/>
          <w:szCs w:val="22"/>
        </w:rPr>
      </w:pPr>
      <w:r>
        <w:rPr>
          <w:sz w:val="22"/>
          <w:szCs w:val="22"/>
        </w:rPr>
        <w:t xml:space="preserve">supported to manage their finances, including the payment of </w:t>
      </w:r>
      <w:r w:rsidR="00EA1C10">
        <w:rPr>
          <w:sz w:val="22"/>
          <w:szCs w:val="22"/>
        </w:rPr>
        <w:t>their h</w:t>
      </w:r>
      <w:r>
        <w:rPr>
          <w:sz w:val="22"/>
          <w:szCs w:val="22"/>
        </w:rPr>
        <w:t>ousing costs</w:t>
      </w:r>
      <w:r w:rsidR="00A55BD7">
        <w:rPr>
          <w:sz w:val="22"/>
          <w:szCs w:val="22"/>
        </w:rPr>
        <w:t>;</w:t>
      </w:r>
    </w:p>
    <w:p w:rsidR="00790884" w:rsidRDefault="00790884" w:rsidP="003C1789">
      <w:pPr>
        <w:pStyle w:val="Default"/>
        <w:numPr>
          <w:ilvl w:val="0"/>
          <w:numId w:val="19"/>
        </w:numPr>
        <w:rPr>
          <w:sz w:val="22"/>
          <w:szCs w:val="22"/>
        </w:rPr>
      </w:pPr>
      <w:proofErr w:type="gramStart"/>
      <w:r>
        <w:rPr>
          <w:sz w:val="22"/>
          <w:szCs w:val="22"/>
        </w:rPr>
        <w:t>able</w:t>
      </w:r>
      <w:proofErr w:type="gramEnd"/>
      <w:r>
        <w:rPr>
          <w:sz w:val="22"/>
          <w:szCs w:val="22"/>
        </w:rPr>
        <w:t xml:space="preserve"> to save and therefore be better able to cope with financial crisis and changes in circumstance</w:t>
      </w:r>
      <w:r w:rsidR="00A55BD7">
        <w:rPr>
          <w:sz w:val="22"/>
          <w:szCs w:val="22"/>
        </w:rPr>
        <w:t>.</w:t>
      </w:r>
      <w:r>
        <w:rPr>
          <w:sz w:val="22"/>
          <w:szCs w:val="22"/>
        </w:rPr>
        <w:t xml:space="preserve"> </w:t>
      </w:r>
    </w:p>
    <w:p w:rsidR="00790884" w:rsidRDefault="00790884" w:rsidP="00790884">
      <w:pPr>
        <w:pStyle w:val="Default"/>
        <w:rPr>
          <w:sz w:val="22"/>
          <w:szCs w:val="22"/>
        </w:rPr>
      </w:pPr>
    </w:p>
    <w:p w:rsidR="00790884" w:rsidRDefault="00790884" w:rsidP="00790884">
      <w:pPr>
        <w:pStyle w:val="Default"/>
        <w:rPr>
          <w:sz w:val="22"/>
          <w:szCs w:val="22"/>
        </w:rPr>
      </w:pPr>
      <w:r>
        <w:rPr>
          <w:b/>
          <w:bCs/>
          <w:i/>
          <w:iCs/>
          <w:sz w:val="22"/>
          <w:szCs w:val="22"/>
        </w:rPr>
        <w:t xml:space="preserve">HOUSING </w:t>
      </w:r>
    </w:p>
    <w:p w:rsidR="00790884" w:rsidRDefault="00790884" w:rsidP="00790884">
      <w:pPr>
        <w:pStyle w:val="Default"/>
        <w:rPr>
          <w:sz w:val="22"/>
          <w:szCs w:val="22"/>
        </w:rPr>
      </w:pPr>
      <w:r>
        <w:rPr>
          <w:i/>
          <w:iCs/>
          <w:sz w:val="22"/>
          <w:szCs w:val="22"/>
        </w:rPr>
        <w:t xml:space="preserve">Short Term </w:t>
      </w:r>
    </w:p>
    <w:p w:rsidR="00790884" w:rsidRPr="00FC024A" w:rsidRDefault="00790884" w:rsidP="00790884">
      <w:pPr>
        <w:pStyle w:val="Default"/>
        <w:numPr>
          <w:ilvl w:val="0"/>
          <w:numId w:val="20"/>
        </w:numPr>
        <w:rPr>
          <w:sz w:val="22"/>
          <w:szCs w:val="22"/>
        </w:rPr>
      </w:pPr>
      <w:r w:rsidRPr="00FC024A">
        <w:rPr>
          <w:sz w:val="22"/>
          <w:szCs w:val="22"/>
        </w:rPr>
        <w:t>Residents facing shortfalls in their Housing Benefit will be supported financially whilst seeking longer term solutions</w:t>
      </w:r>
      <w:r w:rsidR="00A55BD7">
        <w:rPr>
          <w:sz w:val="22"/>
          <w:szCs w:val="22"/>
        </w:rPr>
        <w:t>;</w:t>
      </w:r>
      <w:r w:rsidRPr="00FC024A">
        <w:rPr>
          <w:sz w:val="22"/>
          <w:szCs w:val="22"/>
        </w:rPr>
        <w:t xml:space="preserve"> </w:t>
      </w:r>
    </w:p>
    <w:p w:rsidR="00790884" w:rsidRDefault="00790884" w:rsidP="00790884">
      <w:pPr>
        <w:pStyle w:val="Default"/>
        <w:rPr>
          <w:sz w:val="22"/>
          <w:szCs w:val="22"/>
        </w:rPr>
      </w:pPr>
      <w:r>
        <w:rPr>
          <w:i/>
          <w:iCs/>
          <w:sz w:val="22"/>
          <w:szCs w:val="22"/>
        </w:rPr>
        <w:t xml:space="preserve">Long Term </w:t>
      </w:r>
    </w:p>
    <w:p w:rsidR="00790884" w:rsidRDefault="00A55BD7" w:rsidP="003C1789">
      <w:pPr>
        <w:pStyle w:val="Default"/>
        <w:numPr>
          <w:ilvl w:val="0"/>
          <w:numId w:val="20"/>
        </w:numPr>
        <w:rPr>
          <w:sz w:val="22"/>
          <w:szCs w:val="22"/>
        </w:rPr>
      </w:pPr>
      <w:r>
        <w:rPr>
          <w:sz w:val="22"/>
          <w:szCs w:val="22"/>
        </w:rPr>
        <w:t xml:space="preserve">tenants </w:t>
      </w:r>
      <w:r w:rsidR="00790884">
        <w:rPr>
          <w:sz w:val="22"/>
          <w:szCs w:val="22"/>
        </w:rPr>
        <w:t>will be supported to ensure they are able to manage their tenancy when they sign up for one</w:t>
      </w:r>
      <w:r>
        <w:rPr>
          <w:sz w:val="22"/>
          <w:szCs w:val="22"/>
        </w:rPr>
        <w:t>;</w:t>
      </w:r>
      <w:r w:rsidR="00790884">
        <w:rPr>
          <w:sz w:val="22"/>
          <w:szCs w:val="22"/>
        </w:rPr>
        <w:t xml:space="preserve"> </w:t>
      </w:r>
    </w:p>
    <w:p w:rsidR="00790884" w:rsidRPr="00EA1C10" w:rsidRDefault="00A55BD7" w:rsidP="003C1789">
      <w:pPr>
        <w:pStyle w:val="Default"/>
        <w:numPr>
          <w:ilvl w:val="0"/>
          <w:numId w:val="20"/>
        </w:numPr>
        <w:rPr>
          <w:rFonts w:ascii="Wingdings" w:hAnsi="Wingdings" w:cs="Wingdings"/>
          <w:sz w:val="22"/>
          <w:szCs w:val="22"/>
        </w:rPr>
      </w:pPr>
      <w:r>
        <w:rPr>
          <w:sz w:val="22"/>
          <w:szCs w:val="22"/>
        </w:rPr>
        <w:t xml:space="preserve">fewer </w:t>
      </w:r>
      <w:r w:rsidR="00790884">
        <w:rPr>
          <w:sz w:val="22"/>
          <w:szCs w:val="22"/>
        </w:rPr>
        <w:t>residents will suffer poor health as a result of not being able to adequately heat their homes</w:t>
      </w:r>
      <w:r>
        <w:rPr>
          <w:sz w:val="22"/>
          <w:szCs w:val="22"/>
        </w:rPr>
        <w:t>;</w:t>
      </w:r>
      <w:r w:rsidR="00790884">
        <w:rPr>
          <w:sz w:val="22"/>
          <w:szCs w:val="22"/>
        </w:rPr>
        <w:t xml:space="preserve"> </w:t>
      </w:r>
    </w:p>
    <w:p w:rsidR="00790884" w:rsidRDefault="00A55BD7" w:rsidP="003C1789">
      <w:pPr>
        <w:pStyle w:val="Default"/>
        <w:numPr>
          <w:ilvl w:val="0"/>
          <w:numId w:val="20"/>
        </w:numPr>
        <w:rPr>
          <w:sz w:val="22"/>
          <w:szCs w:val="22"/>
        </w:rPr>
      </w:pPr>
      <w:r>
        <w:rPr>
          <w:sz w:val="22"/>
          <w:szCs w:val="22"/>
        </w:rPr>
        <w:t xml:space="preserve">the </w:t>
      </w:r>
      <w:r w:rsidR="00790884">
        <w:rPr>
          <w:sz w:val="22"/>
          <w:szCs w:val="22"/>
        </w:rPr>
        <w:t>number of excess winter deaths in Oxford will reduce</w:t>
      </w:r>
      <w:r>
        <w:rPr>
          <w:sz w:val="22"/>
          <w:szCs w:val="22"/>
        </w:rPr>
        <w:t>;</w:t>
      </w:r>
      <w:r w:rsidR="00790884">
        <w:rPr>
          <w:sz w:val="22"/>
          <w:szCs w:val="22"/>
        </w:rPr>
        <w:t xml:space="preserve"> </w:t>
      </w:r>
    </w:p>
    <w:p w:rsidR="00790884" w:rsidRDefault="00A55BD7" w:rsidP="003C1789">
      <w:pPr>
        <w:pStyle w:val="Default"/>
        <w:numPr>
          <w:ilvl w:val="0"/>
          <w:numId w:val="20"/>
        </w:numPr>
        <w:rPr>
          <w:sz w:val="22"/>
          <w:szCs w:val="22"/>
        </w:rPr>
      </w:pPr>
      <w:r>
        <w:rPr>
          <w:sz w:val="22"/>
          <w:szCs w:val="22"/>
        </w:rPr>
        <w:t xml:space="preserve">both </w:t>
      </w:r>
      <w:r w:rsidR="00790884">
        <w:rPr>
          <w:sz w:val="22"/>
          <w:szCs w:val="22"/>
        </w:rPr>
        <w:t>Council tenants and private sector tenants to have better insulated properties with lower fuel bills</w:t>
      </w:r>
      <w:r>
        <w:rPr>
          <w:sz w:val="22"/>
          <w:szCs w:val="22"/>
        </w:rPr>
        <w:t>;</w:t>
      </w:r>
      <w:r w:rsidR="00790884">
        <w:rPr>
          <w:sz w:val="22"/>
          <w:szCs w:val="22"/>
        </w:rPr>
        <w:t xml:space="preserve"> </w:t>
      </w:r>
    </w:p>
    <w:p w:rsidR="00EA1C10" w:rsidRDefault="00A55BD7" w:rsidP="003C1789">
      <w:pPr>
        <w:pStyle w:val="Default"/>
        <w:numPr>
          <w:ilvl w:val="0"/>
          <w:numId w:val="20"/>
        </w:numPr>
        <w:rPr>
          <w:sz w:val="22"/>
          <w:szCs w:val="22"/>
        </w:rPr>
      </w:pPr>
      <w:proofErr w:type="gramStart"/>
      <w:r>
        <w:rPr>
          <w:sz w:val="22"/>
          <w:szCs w:val="22"/>
        </w:rPr>
        <w:t>the</w:t>
      </w:r>
      <w:proofErr w:type="gramEnd"/>
      <w:r>
        <w:rPr>
          <w:sz w:val="22"/>
          <w:szCs w:val="22"/>
        </w:rPr>
        <w:t xml:space="preserve"> </w:t>
      </w:r>
      <w:r w:rsidR="00EA1C10">
        <w:rPr>
          <w:sz w:val="22"/>
          <w:szCs w:val="22"/>
        </w:rPr>
        <w:t>Council will be able to target support to residents in fuel poverty</w:t>
      </w:r>
      <w:r>
        <w:rPr>
          <w:sz w:val="22"/>
          <w:szCs w:val="22"/>
        </w:rPr>
        <w:t>.</w:t>
      </w:r>
    </w:p>
    <w:p w:rsidR="00790884" w:rsidRDefault="00790884" w:rsidP="00790884">
      <w:pPr>
        <w:pStyle w:val="Default"/>
        <w:rPr>
          <w:sz w:val="22"/>
          <w:szCs w:val="22"/>
        </w:rPr>
      </w:pPr>
    </w:p>
    <w:p w:rsidR="00790884" w:rsidRDefault="00790884" w:rsidP="00790884">
      <w:pPr>
        <w:pStyle w:val="Default"/>
        <w:rPr>
          <w:b/>
          <w:bCs/>
          <w:i/>
          <w:iCs/>
          <w:sz w:val="22"/>
          <w:szCs w:val="22"/>
        </w:rPr>
      </w:pPr>
      <w:r>
        <w:rPr>
          <w:b/>
          <w:bCs/>
          <w:i/>
          <w:iCs/>
          <w:sz w:val="22"/>
          <w:szCs w:val="22"/>
        </w:rPr>
        <w:t xml:space="preserve">SKILLS </w:t>
      </w:r>
    </w:p>
    <w:p w:rsidR="00790884" w:rsidRDefault="00790884" w:rsidP="00790884">
      <w:pPr>
        <w:pStyle w:val="Default"/>
        <w:rPr>
          <w:i/>
          <w:iCs/>
          <w:sz w:val="22"/>
          <w:szCs w:val="22"/>
        </w:rPr>
      </w:pPr>
      <w:r>
        <w:rPr>
          <w:i/>
          <w:iCs/>
          <w:sz w:val="22"/>
          <w:szCs w:val="22"/>
        </w:rPr>
        <w:t xml:space="preserve">Short Term </w:t>
      </w:r>
    </w:p>
    <w:p w:rsidR="00A55BD7" w:rsidRPr="003265EE" w:rsidRDefault="00A55BD7" w:rsidP="00A55BD7">
      <w:pPr>
        <w:pStyle w:val="Default"/>
        <w:rPr>
          <w:sz w:val="22"/>
          <w:szCs w:val="22"/>
        </w:rPr>
      </w:pPr>
      <w:r w:rsidRPr="003265EE">
        <w:rPr>
          <w:bCs/>
          <w:i/>
          <w:iCs/>
          <w:sz w:val="22"/>
          <w:szCs w:val="22"/>
        </w:rPr>
        <w:t>Residents will be</w:t>
      </w:r>
    </w:p>
    <w:p w:rsidR="00790884" w:rsidRDefault="00790884" w:rsidP="009701A0">
      <w:pPr>
        <w:pStyle w:val="Default"/>
        <w:numPr>
          <w:ilvl w:val="0"/>
          <w:numId w:val="24"/>
        </w:numPr>
        <w:rPr>
          <w:sz w:val="22"/>
          <w:szCs w:val="22"/>
        </w:rPr>
      </w:pPr>
      <w:r>
        <w:rPr>
          <w:sz w:val="22"/>
          <w:szCs w:val="22"/>
        </w:rPr>
        <w:t>supported to use the right channel for their needs including face to face, telephone and online</w:t>
      </w:r>
      <w:r w:rsidR="00A55BD7">
        <w:rPr>
          <w:sz w:val="22"/>
          <w:szCs w:val="22"/>
        </w:rPr>
        <w:t>;</w:t>
      </w:r>
      <w:r>
        <w:rPr>
          <w:sz w:val="22"/>
          <w:szCs w:val="22"/>
        </w:rPr>
        <w:t xml:space="preserve"> </w:t>
      </w:r>
    </w:p>
    <w:p w:rsidR="00790884" w:rsidRDefault="00790884" w:rsidP="009701A0">
      <w:pPr>
        <w:pStyle w:val="Default"/>
        <w:numPr>
          <w:ilvl w:val="0"/>
          <w:numId w:val="24"/>
        </w:numPr>
        <w:rPr>
          <w:sz w:val="22"/>
          <w:szCs w:val="22"/>
        </w:rPr>
      </w:pPr>
      <w:proofErr w:type="gramStart"/>
      <w:r>
        <w:rPr>
          <w:sz w:val="22"/>
          <w:szCs w:val="22"/>
        </w:rPr>
        <w:t>assiste</w:t>
      </w:r>
      <w:r w:rsidR="00EA1C10">
        <w:rPr>
          <w:sz w:val="22"/>
          <w:szCs w:val="22"/>
        </w:rPr>
        <w:t>d</w:t>
      </w:r>
      <w:proofErr w:type="gramEnd"/>
      <w:r w:rsidR="00EA1C10">
        <w:rPr>
          <w:sz w:val="22"/>
          <w:szCs w:val="22"/>
        </w:rPr>
        <w:t xml:space="preserve"> in accessing digital services</w:t>
      </w:r>
      <w:r w:rsidR="00A55BD7">
        <w:rPr>
          <w:sz w:val="22"/>
          <w:szCs w:val="22"/>
        </w:rPr>
        <w:t>.</w:t>
      </w:r>
    </w:p>
    <w:p w:rsidR="00790884" w:rsidRDefault="00790884" w:rsidP="00790884">
      <w:pPr>
        <w:pStyle w:val="Default"/>
        <w:rPr>
          <w:sz w:val="22"/>
          <w:szCs w:val="22"/>
        </w:rPr>
      </w:pPr>
    </w:p>
    <w:p w:rsidR="00C97921" w:rsidRDefault="00790884" w:rsidP="00790884">
      <w:pPr>
        <w:pStyle w:val="Default"/>
        <w:rPr>
          <w:i/>
          <w:iCs/>
          <w:sz w:val="22"/>
          <w:szCs w:val="22"/>
        </w:rPr>
      </w:pPr>
      <w:r>
        <w:rPr>
          <w:i/>
          <w:iCs/>
          <w:sz w:val="22"/>
          <w:szCs w:val="22"/>
        </w:rPr>
        <w:t>Long Term</w:t>
      </w:r>
    </w:p>
    <w:p w:rsidR="00790884" w:rsidRDefault="00C97921" w:rsidP="00790884">
      <w:pPr>
        <w:pStyle w:val="Default"/>
        <w:rPr>
          <w:sz w:val="22"/>
          <w:szCs w:val="22"/>
        </w:rPr>
      </w:pPr>
      <w:r>
        <w:rPr>
          <w:i/>
          <w:iCs/>
          <w:sz w:val="22"/>
          <w:szCs w:val="22"/>
        </w:rPr>
        <w:t>Residents will</w:t>
      </w:r>
      <w:r w:rsidR="00790884">
        <w:rPr>
          <w:i/>
          <w:iCs/>
          <w:sz w:val="22"/>
          <w:szCs w:val="22"/>
        </w:rPr>
        <w:t xml:space="preserve"> </w:t>
      </w:r>
    </w:p>
    <w:p w:rsidR="00790884" w:rsidRDefault="00790884" w:rsidP="009701A0">
      <w:pPr>
        <w:pStyle w:val="Default"/>
        <w:numPr>
          <w:ilvl w:val="0"/>
          <w:numId w:val="25"/>
        </w:numPr>
        <w:rPr>
          <w:sz w:val="22"/>
          <w:szCs w:val="22"/>
        </w:rPr>
      </w:pPr>
      <w:r>
        <w:rPr>
          <w:sz w:val="22"/>
          <w:szCs w:val="22"/>
        </w:rPr>
        <w:t>be engaged by partners to support them to learn the skills they need to obtain work</w:t>
      </w:r>
      <w:r w:rsidR="00C97921">
        <w:rPr>
          <w:sz w:val="22"/>
          <w:szCs w:val="22"/>
        </w:rPr>
        <w:t>;</w:t>
      </w:r>
      <w:r>
        <w:rPr>
          <w:sz w:val="22"/>
          <w:szCs w:val="22"/>
        </w:rPr>
        <w:t xml:space="preserve"> </w:t>
      </w:r>
    </w:p>
    <w:p w:rsidR="00790884" w:rsidRDefault="00790884" w:rsidP="009701A0">
      <w:pPr>
        <w:pStyle w:val="Default"/>
        <w:numPr>
          <w:ilvl w:val="0"/>
          <w:numId w:val="25"/>
        </w:numPr>
        <w:rPr>
          <w:sz w:val="22"/>
          <w:szCs w:val="22"/>
        </w:rPr>
      </w:pPr>
      <w:r>
        <w:rPr>
          <w:sz w:val="22"/>
          <w:szCs w:val="22"/>
        </w:rPr>
        <w:t>receive training for the type of work which is available locally, so they are best placed to obtain employment</w:t>
      </w:r>
      <w:r w:rsidR="00C97921">
        <w:rPr>
          <w:sz w:val="22"/>
          <w:szCs w:val="22"/>
        </w:rPr>
        <w:t>;</w:t>
      </w:r>
      <w:r>
        <w:rPr>
          <w:sz w:val="22"/>
          <w:szCs w:val="22"/>
        </w:rPr>
        <w:t xml:space="preserve"> </w:t>
      </w:r>
    </w:p>
    <w:p w:rsidR="00790884" w:rsidRDefault="00790884" w:rsidP="009701A0">
      <w:pPr>
        <w:pStyle w:val="Default"/>
        <w:numPr>
          <w:ilvl w:val="0"/>
          <w:numId w:val="25"/>
        </w:numPr>
        <w:rPr>
          <w:sz w:val="22"/>
          <w:szCs w:val="22"/>
        </w:rPr>
      </w:pPr>
      <w:r>
        <w:rPr>
          <w:sz w:val="22"/>
          <w:szCs w:val="22"/>
        </w:rPr>
        <w:t>be supported to overcome barriers to work</w:t>
      </w:r>
      <w:r w:rsidR="00C97921">
        <w:rPr>
          <w:sz w:val="22"/>
          <w:szCs w:val="22"/>
        </w:rPr>
        <w:t>;</w:t>
      </w:r>
      <w:r>
        <w:rPr>
          <w:sz w:val="22"/>
          <w:szCs w:val="22"/>
        </w:rPr>
        <w:t xml:space="preserve"> </w:t>
      </w:r>
    </w:p>
    <w:p w:rsidR="00790884" w:rsidRDefault="00790884" w:rsidP="009701A0">
      <w:pPr>
        <w:pStyle w:val="Default"/>
        <w:numPr>
          <w:ilvl w:val="0"/>
          <w:numId w:val="25"/>
        </w:numPr>
        <w:rPr>
          <w:sz w:val="22"/>
          <w:szCs w:val="22"/>
        </w:rPr>
      </w:pPr>
      <w:proofErr w:type="gramStart"/>
      <w:r>
        <w:rPr>
          <w:sz w:val="22"/>
          <w:szCs w:val="22"/>
        </w:rPr>
        <w:t>be</w:t>
      </w:r>
      <w:proofErr w:type="gramEnd"/>
      <w:r>
        <w:rPr>
          <w:sz w:val="22"/>
          <w:szCs w:val="22"/>
        </w:rPr>
        <w:t xml:space="preserve"> supported to become self-sufficient in accessing online services</w:t>
      </w:r>
      <w:r w:rsidR="00C97921">
        <w:rPr>
          <w:sz w:val="22"/>
          <w:szCs w:val="22"/>
        </w:rPr>
        <w:t>.</w:t>
      </w:r>
      <w:r>
        <w:rPr>
          <w:sz w:val="22"/>
          <w:szCs w:val="22"/>
        </w:rPr>
        <w:t xml:space="preserve"> </w:t>
      </w:r>
    </w:p>
    <w:p w:rsidR="00790884" w:rsidRDefault="00790884" w:rsidP="00E33BF5"/>
    <w:p w:rsidR="00286EE4" w:rsidRDefault="00286EE4" w:rsidP="00E33BF5">
      <w:pPr>
        <w:rPr>
          <w:b/>
        </w:rPr>
      </w:pPr>
    </w:p>
    <w:p w:rsidR="00E33BF5" w:rsidRDefault="00F4509F" w:rsidP="00E33BF5">
      <w:pPr>
        <w:rPr>
          <w:b/>
        </w:rPr>
      </w:pPr>
      <w:r>
        <w:rPr>
          <w:b/>
        </w:rPr>
        <w:lastRenderedPageBreak/>
        <w:t>GOVERNANCE</w:t>
      </w:r>
    </w:p>
    <w:p w:rsidR="00E33BF5" w:rsidRDefault="00E33BF5" w:rsidP="00E33BF5">
      <w:r w:rsidRPr="00E33BF5">
        <w:t>The FIS is monitored informally through the Welfare Reform Officers Group, and Financial Inclusion Member Group, and is formally overseen by the One Council Board.</w:t>
      </w:r>
    </w:p>
    <w:p w:rsidR="00766481" w:rsidRDefault="00F4509F" w:rsidP="00F4509F">
      <w:r>
        <w:t>The delivery of the Strategy itself will be coordinated on a day to day basis by the Council’s Revenues &amp; Benefits Programme Manager.</w:t>
      </w:r>
    </w:p>
    <w:p w:rsidR="00F4509F" w:rsidRPr="00F4509F" w:rsidRDefault="00F4509F" w:rsidP="00F4509F">
      <w:pPr>
        <w:rPr>
          <w:b/>
        </w:rPr>
      </w:pPr>
      <w:r w:rsidRPr="00F4509F">
        <w:rPr>
          <w:b/>
        </w:rPr>
        <w:t>ACTION PLAN</w:t>
      </w:r>
    </w:p>
    <w:p w:rsidR="00F4509F" w:rsidRDefault="0021401F" w:rsidP="00F4509F">
      <w:r>
        <w:t>See Appendix Two</w:t>
      </w:r>
    </w:p>
    <w:p w:rsidR="00766481" w:rsidRDefault="00766481" w:rsidP="00E33BF5"/>
    <w:p w:rsidR="00766481" w:rsidRDefault="00766481" w:rsidP="00E33BF5"/>
    <w:p w:rsidR="00FB5A06" w:rsidRDefault="00FB5A06">
      <w:r>
        <w:br w:type="page"/>
      </w:r>
    </w:p>
    <w:p w:rsidR="00905462" w:rsidRDefault="00FB5A06" w:rsidP="00E33BF5">
      <w:pPr>
        <w:rPr>
          <w:b/>
        </w:rPr>
      </w:pPr>
      <w:r w:rsidRPr="00FB5A06">
        <w:rPr>
          <w:b/>
        </w:rPr>
        <w:lastRenderedPageBreak/>
        <w:t>Appendix One – Financial Inclusion Strategy Achievements 2014-17</w:t>
      </w:r>
    </w:p>
    <w:p w:rsidR="00FB5A06" w:rsidRDefault="00FB5A06" w:rsidP="00FB5A06">
      <w:r>
        <w:t>This appendix summarise the achievements of the Financial Inclusion Strategy over the last three years across its four themes.</w:t>
      </w:r>
    </w:p>
    <w:p w:rsidR="00404C42" w:rsidRPr="00404C42" w:rsidRDefault="00FB5A06" w:rsidP="00404C42">
      <w:pPr>
        <w:pStyle w:val="NoSpacing"/>
        <w:rPr>
          <w:b/>
        </w:rPr>
      </w:pPr>
      <w:r w:rsidRPr="00404C42">
        <w:rPr>
          <w:b/>
        </w:rPr>
        <w:t>DEBT</w:t>
      </w:r>
    </w:p>
    <w:p w:rsidR="00343F6E" w:rsidRDefault="00343F6E" w:rsidP="00404C42">
      <w:pPr>
        <w:pStyle w:val="NoSpacing"/>
      </w:pPr>
      <w:r w:rsidRPr="00343F6E">
        <w:t>The Council agreed revised outcomes with organisations funded through the Council’s Advice &amp; Money Management commissioning theme, and drafted revised Service Level Agreements for 2014/15 which reflect</w:t>
      </w:r>
      <w:r w:rsidR="00C97921">
        <w:t>ed local</w:t>
      </w:r>
      <w:r w:rsidRPr="00343F6E">
        <w:t xml:space="preserve"> needs and responded to the challenges of Welfare Reform and increasing living costs. In 2017 an independent review of advice services was commissioned, which will inform the 2018-21 commissioning period. Throughout this period the Council has maintained existing levels of funding for this and all of its commissioning themes and grants programmes.</w:t>
      </w:r>
    </w:p>
    <w:p w:rsidR="00343F6E" w:rsidRDefault="00343F6E" w:rsidP="00404C42">
      <w:pPr>
        <w:pStyle w:val="NoSpacing"/>
      </w:pPr>
    </w:p>
    <w:p w:rsidR="00157877" w:rsidRDefault="007506F1" w:rsidP="00404C42">
      <w:pPr>
        <w:pStyle w:val="NoSpacing"/>
      </w:pPr>
      <w:r>
        <w:t xml:space="preserve">The </w:t>
      </w:r>
      <w:r w:rsidR="00FB5A06" w:rsidRPr="00FB5A06">
        <w:t xml:space="preserve">Revenues and Incomes </w:t>
      </w:r>
      <w:r w:rsidR="00343F6E">
        <w:t xml:space="preserve">teams </w:t>
      </w:r>
      <w:r>
        <w:t>are taking a more</w:t>
      </w:r>
      <w:r w:rsidR="00FB5A06" w:rsidRPr="00FB5A06">
        <w:t xml:space="preserve"> proactive</w:t>
      </w:r>
      <w:r>
        <w:t xml:space="preserve"> approach to debt collection to resolve arrears issues before court proceedings are undertaken. This reduces the additional costs </w:t>
      </w:r>
      <w:r w:rsidR="00C97921">
        <w:t xml:space="preserve">local residents </w:t>
      </w:r>
      <w:r>
        <w:t xml:space="preserve">incur and reduces the stress that this process can cause. </w:t>
      </w:r>
      <w:r w:rsidR="00157877">
        <w:t>The table below shows how this approach has reduced the number of summons’ and liability orders issued in respect of unpaid Council Tax, and the reduction in costs added to customers’ accounts.</w:t>
      </w:r>
      <w:r w:rsidR="00343F6E">
        <w:t xml:space="preserve"> </w:t>
      </w:r>
    </w:p>
    <w:p w:rsidR="00157877" w:rsidRDefault="00157877" w:rsidP="00404C42">
      <w:pPr>
        <w:pStyle w:val="NoSpacing"/>
      </w:pPr>
    </w:p>
    <w:p w:rsidR="00157877" w:rsidRDefault="00157877" w:rsidP="00404C42">
      <w:pPr>
        <w:pStyle w:val="NoSpacing"/>
      </w:pPr>
      <w:r w:rsidRPr="00157877">
        <w:rPr>
          <w:noProof/>
          <w:lang w:eastAsia="en-GB"/>
        </w:rPr>
        <w:drawing>
          <wp:inline distT="0" distB="0" distL="0" distR="0" wp14:anchorId="00077BFB" wp14:editId="3A2BEA9B">
            <wp:extent cx="289877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8775" cy="767715"/>
                    </a:xfrm>
                    <a:prstGeom prst="rect">
                      <a:avLst/>
                    </a:prstGeom>
                    <a:noFill/>
                    <a:ln>
                      <a:noFill/>
                    </a:ln>
                  </pic:spPr>
                </pic:pic>
              </a:graphicData>
            </a:graphic>
          </wp:inline>
        </w:drawing>
      </w:r>
    </w:p>
    <w:p w:rsidR="00157877" w:rsidRDefault="00157877" w:rsidP="00404C42">
      <w:pPr>
        <w:pStyle w:val="NoSpacing"/>
      </w:pPr>
    </w:p>
    <w:p w:rsidR="00FB5A06" w:rsidRDefault="007506F1" w:rsidP="00404C42">
      <w:pPr>
        <w:pStyle w:val="NoSpacing"/>
      </w:pPr>
      <w:r w:rsidRPr="007506F1">
        <w:t xml:space="preserve">This approach attempts to address the root cause of arrears, and although this can take more time initially, the </w:t>
      </w:r>
      <w:r w:rsidR="0053028B" w:rsidRPr="007506F1">
        <w:t>payoff</w:t>
      </w:r>
      <w:r w:rsidRPr="007506F1">
        <w:t xml:space="preserve"> is that </w:t>
      </w:r>
      <w:r w:rsidR="00C97921">
        <w:t>the resident</w:t>
      </w:r>
      <w:r w:rsidRPr="007506F1">
        <w:t xml:space="preserve"> is more likely to pay promptly in the future, rather than getting into a cycle of court action for each year’s debt.</w:t>
      </w:r>
      <w:r w:rsidR="0053028B">
        <w:t xml:space="preserve"> Both teams have achieved </w:t>
      </w:r>
      <w:r w:rsidR="00404C42">
        <w:t>their highest ever collection figures in the last year, which shows that having a strong customer focus is a successful model for debt collection.</w:t>
      </w:r>
    </w:p>
    <w:p w:rsidR="00404C42" w:rsidRDefault="00404C42" w:rsidP="00404C42">
      <w:pPr>
        <w:pStyle w:val="NoSpacing"/>
      </w:pPr>
    </w:p>
    <w:p w:rsidR="0053028B" w:rsidRDefault="0053028B" w:rsidP="00404C42">
      <w:pPr>
        <w:pStyle w:val="NoSpacing"/>
      </w:pPr>
      <w:r>
        <w:t>The Revenues team signed up to the “Collection of Council Tax arrears good practice protocol” developed by Citizens Advice and the Local Government Association.</w:t>
      </w:r>
    </w:p>
    <w:p w:rsidR="00404C42" w:rsidRDefault="00404C42" w:rsidP="00404C42">
      <w:pPr>
        <w:pStyle w:val="NoSpacing"/>
      </w:pPr>
    </w:p>
    <w:p w:rsidR="0053028B" w:rsidRDefault="0053028B" w:rsidP="00404C42">
      <w:pPr>
        <w:pStyle w:val="NoSpacing"/>
      </w:pPr>
      <w:r>
        <w:t>The Incomes team have taken on the collection of more types of debt, and work closely with debt raising departments to ensure customers receive a consistent and seamless service.</w:t>
      </w:r>
    </w:p>
    <w:p w:rsidR="00404C42" w:rsidRDefault="00404C42" w:rsidP="00404C42">
      <w:pPr>
        <w:pStyle w:val="NoSpacing"/>
      </w:pPr>
    </w:p>
    <w:p w:rsidR="0053028B" w:rsidRDefault="0053028B" w:rsidP="00404C42">
      <w:pPr>
        <w:pStyle w:val="NoSpacing"/>
      </w:pPr>
      <w:r>
        <w:t>Revenues and Incomes are also working with the Investigations team to implement a solution for a single view of debt owed to the Council. This is making use of a data warehouse tool from our</w:t>
      </w:r>
      <w:r w:rsidR="004B2504">
        <w:t xml:space="preserve"> supplier Intec to match data f</w:t>
      </w:r>
      <w:r>
        <w:t>r</w:t>
      </w:r>
      <w:r w:rsidR="004B2504">
        <w:t>o</w:t>
      </w:r>
      <w:r>
        <w:t>m different systems. The work is still in progress, but has been driven by the governance of the FIS.</w:t>
      </w:r>
    </w:p>
    <w:p w:rsidR="00404C42" w:rsidRPr="007506F1" w:rsidRDefault="00404C42" w:rsidP="00404C42">
      <w:pPr>
        <w:pStyle w:val="NoSpacing"/>
      </w:pPr>
    </w:p>
    <w:p w:rsidR="00277F75" w:rsidRDefault="007506F1" w:rsidP="00404C42">
      <w:pPr>
        <w:pStyle w:val="NoSpacing"/>
      </w:pPr>
      <w:r>
        <w:t>A mapping exercise was conducted to show the p</w:t>
      </w:r>
      <w:r w:rsidR="00277F75" w:rsidRPr="00277F75">
        <w:t>rovision of emergency support available in the City to those in crisis (e.g. Foodbanks, grants, loans)</w:t>
      </w:r>
    </w:p>
    <w:p w:rsidR="00404C42" w:rsidRPr="00277F75" w:rsidRDefault="00404C42" w:rsidP="00404C42">
      <w:pPr>
        <w:pStyle w:val="NoSpacing"/>
      </w:pPr>
    </w:p>
    <w:p w:rsidR="00277F75" w:rsidRDefault="00404C42" w:rsidP="00404C42">
      <w:pPr>
        <w:pStyle w:val="NoSpacing"/>
      </w:pPr>
      <w:r>
        <w:t>When the Council retendered its own bank account, it ensured that a provision was included</w:t>
      </w:r>
      <w:r w:rsidR="00277F75" w:rsidRPr="00277F75">
        <w:t xml:space="preserve"> </w:t>
      </w:r>
      <w:r>
        <w:t>that the successful supplier must</w:t>
      </w:r>
      <w:r w:rsidR="00277F75" w:rsidRPr="00277F75">
        <w:t xml:space="preserve"> provid</w:t>
      </w:r>
      <w:r>
        <w:t>e</w:t>
      </w:r>
      <w:r w:rsidR="00277F75" w:rsidRPr="00277F75">
        <w:t xml:space="preserve"> basic bank accounts </w:t>
      </w:r>
      <w:r>
        <w:t xml:space="preserve">for </w:t>
      </w:r>
      <w:r w:rsidR="00C97921">
        <w:t>local resident</w:t>
      </w:r>
      <w:r>
        <w:t>s. (Since then the government have brought in legislation requiring all banks to offer such accounts)</w:t>
      </w:r>
    </w:p>
    <w:p w:rsidR="00A75E66" w:rsidRDefault="00A75E66" w:rsidP="00A75E66">
      <w:pPr>
        <w:pStyle w:val="NoSpacing"/>
        <w:rPr>
          <w:b/>
        </w:rPr>
      </w:pPr>
    </w:p>
    <w:p w:rsidR="00FB5A06" w:rsidRPr="00A75E66" w:rsidRDefault="00FB5A06" w:rsidP="00A75E66">
      <w:pPr>
        <w:pStyle w:val="NoSpacing"/>
        <w:rPr>
          <w:b/>
        </w:rPr>
      </w:pPr>
      <w:r w:rsidRPr="00A75E66">
        <w:rPr>
          <w:b/>
        </w:rPr>
        <w:t>INCOME</w:t>
      </w:r>
    </w:p>
    <w:p w:rsidR="00404C42" w:rsidRDefault="006B5923" w:rsidP="00A75E66">
      <w:pPr>
        <w:pStyle w:val="NoSpacing"/>
      </w:pPr>
      <w:r>
        <w:t>At</w:t>
      </w:r>
      <w:r w:rsidR="00404C42">
        <w:t xml:space="preserve"> the</w:t>
      </w:r>
      <w:r>
        <w:t xml:space="preserve"> time the FIS was introduced the</w:t>
      </w:r>
      <w:r w:rsidR="00404C42">
        <w:t xml:space="preserve"> Council was concluding a successful project in partnership with the DWP and other organisations to trial paying social tenants their housing costs directly. </w:t>
      </w:r>
      <w:r>
        <w:t xml:space="preserve">This was to prepare them for Universal Credit which as a default pays housing </w:t>
      </w:r>
      <w:r>
        <w:lastRenderedPageBreak/>
        <w:t xml:space="preserve">costs to the tenant. This is different from Housing Benefit where the landlord normally received the payment. The Council decided to keep paying tenants their Housing Benefit directly, and to make this the default option for new tenants. There are still approximately 700 tenants receiving their benefit directly, and this </w:t>
      </w:r>
      <w:r w:rsidR="00343F6E">
        <w:t>remains</w:t>
      </w:r>
      <w:r>
        <w:t xml:space="preserve"> the default option for new tenants. With Universal Credit begin its full rollout from October 201</w:t>
      </w:r>
      <w:r w:rsidR="00C97921">
        <w:t>7</w:t>
      </w:r>
      <w:r>
        <w:t xml:space="preserve"> tenants will be more prepared for the changes this brings.</w:t>
      </w:r>
    </w:p>
    <w:p w:rsidR="00A75E66" w:rsidRDefault="00A75E66" w:rsidP="00A75E66">
      <w:pPr>
        <w:pStyle w:val="NoSpacing"/>
      </w:pPr>
    </w:p>
    <w:p w:rsidR="009F5C4D" w:rsidRDefault="006B5923" w:rsidP="00FB5A06">
      <w:r>
        <w:t>Following the successful model employed by the Welfare Reform Team in supporting people facing benefit changes, a two year pilot was commenced in 2016</w:t>
      </w:r>
      <w:r w:rsidR="000E7DF3">
        <w:t xml:space="preserve"> to replicate this work with people placed by the Council in the private rented sector. The aim of the project is to help people get to a point where they are able to sustain their rent payments themselves. There is a significant gap between the amount of Housing Benefit paid for privately rented properties and median rent levels. As such the Council usually tops up the difference for people it places in such </w:t>
      </w:r>
      <w:r w:rsidR="00C97921">
        <w:t>properties</w:t>
      </w:r>
      <w:r w:rsidR="000E7DF3">
        <w:t>. With Housing Benefit frozen and rents continuing to increase, this is not a sustainable model. An interim report on progress of the project will be made to CEB in December 2017.</w:t>
      </w:r>
    </w:p>
    <w:p w:rsidR="00FB5A06" w:rsidRDefault="000E7DF3" w:rsidP="00FB5A06">
      <w:r>
        <w:t>Since Council Tax Benefit</w:t>
      </w:r>
      <w:r w:rsidR="00EC4FB7">
        <w:t xml:space="preserve"> </w:t>
      </w:r>
      <w:r w:rsidR="00ED29BC">
        <w:t>(CTB)</w:t>
      </w:r>
      <w:r>
        <w:t xml:space="preserve"> was localised in 2013, and became </w:t>
      </w:r>
      <w:r w:rsidR="00ED29BC">
        <w:t>Council</w:t>
      </w:r>
      <w:r>
        <w:t xml:space="preserve"> Tax Reduction, the Council has maintained the same level of support that existed </w:t>
      </w:r>
      <w:r w:rsidR="00ED29BC">
        <w:t>under CTB. Oxford is now one of only 37 Councils to have taken this approach. Governance of the FIS has kept this under review on an annual basis, and despite the increasing cost to the Council (</w:t>
      </w:r>
      <w:r w:rsidR="00343F6E">
        <w:t>£</w:t>
      </w:r>
      <w:r w:rsidR="00ED29BC">
        <w:t>1.2million for 2017/18) has determined that it is important to maintain this support due to the significant reduction in other benefit payments.</w:t>
      </w:r>
    </w:p>
    <w:p w:rsidR="00277F75" w:rsidRDefault="001D1575" w:rsidP="00FB5A06">
      <w:r>
        <w:t xml:space="preserve">A </w:t>
      </w:r>
      <w:r w:rsidR="000A2F87">
        <w:t>review of Credit Un</w:t>
      </w:r>
      <w:r>
        <w:t xml:space="preserve">ion services was jointly commissioned by </w:t>
      </w:r>
      <w:r w:rsidR="000A2F87">
        <w:t xml:space="preserve">the Council, </w:t>
      </w:r>
      <w:r>
        <w:t>Oxfordshire Credit U</w:t>
      </w:r>
      <w:r w:rsidR="000A2F87">
        <w:t>nion and Blackbird Leys Credit Union. This provided helpful insight for the Credit Unions, and for the Council in understanding how it could best support them. As a result Oxfordshire Credit Union has developed its services and increased its customer base. Blackbird Leys Credit Union has pursued a merger with Northamptonshire Credit Union, which took place in March 2017. The revised FIS contains an action for the Council to promote Credit Union service.</w:t>
      </w:r>
    </w:p>
    <w:p w:rsidR="00FB5A06" w:rsidRDefault="000A2F87" w:rsidP="00FB5A06">
      <w:r>
        <w:t xml:space="preserve">Other actions in this theme saw the Council gain </w:t>
      </w:r>
      <w:r w:rsidR="00277F75" w:rsidRPr="00277F75">
        <w:t xml:space="preserve">accreditation with </w:t>
      </w:r>
      <w:r>
        <w:t xml:space="preserve">the </w:t>
      </w:r>
      <w:r w:rsidR="00277F75" w:rsidRPr="00277F75">
        <w:t>Living Wage Foundation</w:t>
      </w:r>
      <w:r>
        <w:t xml:space="preserve">, and identify </w:t>
      </w:r>
      <w:r w:rsidR="00277F75" w:rsidRPr="00277F75">
        <w:t>local providers of affordable childcare</w:t>
      </w:r>
      <w:r>
        <w:t>.</w:t>
      </w:r>
    </w:p>
    <w:p w:rsidR="00FB5A06" w:rsidRPr="00A75E66" w:rsidRDefault="00FB5A06" w:rsidP="00A75E66">
      <w:pPr>
        <w:pStyle w:val="NoSpacing"/>
        <w:rPr>
          <w:b/>
        </w:rPr>
      </w:pPr>
      <w:r w:rsidRPr="00A75E66">
        <w:rPr>
          <w:b/>
        </w:rPr>
        <w:t>HOUSING</w:t>
      </w:r>
      <w:r w:rsidR="00A75E66" w:rsidRPr="00A75E66">
        <w:rPr>
          <w:b/>
        </w:rPr>
        <w:t>/FUEL POVERTY</w:t>
      </w:r>
    </w:p>
    <w:p w:rsidR="00A75E66" w:rsidRPr="0099055D" w:rsidRDefault="00A75E66" w:rsidP="00A75E66">
      <w:pPr>
        <w:pStyle w:val="NoSpacing"/>
      </w:pPr>
      <w:r w:rsidRPr="0099055D">
        <w:t xml:space="preserve">Fuel poverty work has </w:t>
      </w:r>
      <w:r w:rsidR="00C97921" w:rsidRPr="0099055D">
        <w:t xml:space="preserve">focused </w:t>
      </w:r>
      <w:r w:rsidRPr="0099055D">
        <w:t xml:space="preserve">on two core areas; improving the insulation of </w:t>
      </w:r>
      <w:r w:rsidR="00157877" w:rsidRPr="0099055D">
        <w:t>properties</w:t>
      </w:r>
      <w:r w:rsidRPr="0099055D">
        <w:t xml:space="preserve"> and provision of advice and targeting of funding to people on low incomes. </w:t>
      </w:r>
    </w:p>
    <w:p w:rsidR="00A75E66" w:rsidRPr="0099055D" w:rsidRDefault="00A75E66" w:rsidP="00A75E66">
      <w:pPr>
        <w:pStyle w:val="NoSpacing"/>
        <w:rPr>
          <w:color w:val="FF0000"/>
        </w:rPr>
      </w:pPr>
    </w:p>
    <w:p w:rsidR="00A75E66" w:rsidRPr="0099055D" w:rsidRDefault="00A75E66" w:rsidP="00A75E66">
      <w:pPr>
        <w:pStyle w:val="NoSpacing"/>
      </w:pPr>
      <w:r w:rsidRPr="0099055D">
        <w:t xml:space="preserve">Key </w:t>
      </w:r>
      <w:r w:rsidR="00C97921">
        <w:t xml:space="preserve">actions to tackle this in Oxford </w:t>
      </w:r>
      <w:r w:rsidRPr="0099055D">
        <w:t>over the next few years</w:t>
      </w:r>
      <w:r w:rsidR="00C97921">
        <w:t xml:space="preserve"> include the following.</w:t>
      </w:r>
    </w:p>
    <w:p w:rsidR="0021401F" w:rsidRDefault="0021401F" w:rsidP="0021401F">
      <w:pPr>
        <w:pStyle w:val="NoSpacing"/>
        <w:numPr>
          <w:ilvl w:val="0"/>
          <w:numId w:val="26"/>
        </w:numPr>
      </w:pPr>
      <w:r w:rsidRPr="0021401F">
        <w:t xml:space="preserve">Progression in the private rented sector pushing the restrictions from the Energy Act 2016 </w:t>
      </w:r>
      <w:proofErr w:type="gramStart"/>
      <w:r w:rsidRPr="0021401F">
        <w:t>that apply</w:t>
      </w:r>
      <w:proofErr w:type="gramEnd"/>
      <w:r w:rsidRPr="0021401F">
        <w:t xml:space="preserve"> from 1 April 2018, whilst also promoting and providing funding such as the Private Rented Energy Efficiency Grant and via services such as LEAP.</w:t>
      </w:r>
    </w:p>
    <w:p w:rsidR="00A75E66" w:rsidRPr="0099055D" w:rsidRDefault="00A75E66" w:rsidP="0021401F">
      <w:pPr>
        <w:pStyle w:val="NoSpacing"/>
        <w:numPr>
          <w:ilvl w:val="0"/>
          <w:numId w:val="26"/>
        </w:numPr>
      </w:pPr>
      <w:r w:rsidRPr="0099055D">
        <w:t xml:space="preserve">Targeting fuel poverty and using data to lever in external funding to tackle this in Oxford.  </w:t>
      </w:r>
    </w:p>
    <w:p w:rsidR="00A75E66" w:rsidRPr="0099055D" w:rsidRDefault="00A75E66" w:rsidP="00A75E66">
      <w:pPr>
        <w:pStyle w:val="NoSpacing"/>
        <w:numPr>
          <w:ilvl w:val="0"/>
          <w:numId w:val="26"/>
        </w:numPr>
      </w:pPr>
      <w:r w:rsidRPr="0099055D">
        <w:t xml:space="preserve">Building on the existing single point of contact, the Affordable Warmth Network, to provide an integrated, multi-agency Oxfordshire service that both residents and professionals know about and can refer clients into.  </w:t>
      </w:r>
    </w:p>
    <w:p w:rsidR="00A75E66" w:rsidRPr="0099055D" w:rsidRDefault="00A75E66" w:rsidP="00A75E66">
      <w:pPr>
        <w:pStyle w:val="NoSpacing"/>
      </w:pPr>
    </w:p>
    <w:p w:rsidR="00A75E66" w:rsidRPr="0099055D" w:rsidRDefault="00A75E66" w:rsidP="00A75E66">
      <w:pPr>
        <w:pStyle w:val="NoSpacing"/>
      </w:pPr>
      <w:r w:rsidRPr="0099055D">
        <w:rPr>
          <w:b/>
        </w:rPr>
        <w:t>Advice and funding</w:t>
      </w:r>
    </w:p>
    <w:p w:rsidR="00A75E66" w:rsidRDefault="00A75E66" w:rsidP="00A75E66">
      <w:pPr>
        <w:pStyle w:val="NoSpacing"/>
      </w:pPr>
      <w:r w:rsidRPr="0099055D">
        <w:t xml:space="preserve">The Council developed low income/high cost fuel poverty model in partnership with Ricardo to enable officers to target intervention and grant take-up. This was part of a 2016-17 Energy </w:t>
      </w:r>
      <w:r w:rsidRPr="0099055D">
        <w:lastRenderedPageBreak/>
        <w:t xml:space="preserve">Data Integration Service (EDIS) research project, working with Ricardo on a data platform that integrates a range of different Council held data and Council licensed data such as Energy Performance Certificates (EPCs). </w:t>
      </w:r>
    </w:p>
    <w:p w:rsidR="00A75E66" w:rsidRPr="0099055D" w:rsidRDefault="00A75E66" w:rsidP="00A75E66">
      <w:pPr>
        <w:pStyle w:val="NoSpacing"/>
      </w:pPr>
    </w:p>
    <w:p w:rsidR="00A75E66" w:rsidRPr="0099055D" w:rsidRDefault="00A75E66" w:rsidP="00A75E66">
      <w:pPr>
        <w:pStyle w:val="NoSpacing"/>
      </w:pPr>
      <w:r w:rsidRPr="0099055D">
        <w:t>As of 31 March 2017, the Council’s energy advice officers had visited 1813 council housing properties (and attempted to visit another 1593). Tenants will have saved around £116,370 and additionally 96 have benefitted from the detailed financial advice and debt support after referral to Citizens’ Advice.</w:t>
      </w:r>
    </w:p>
    <w:p w:rsidR="00A75E66" w:rsidRPr="0099055D" w:rsidRDefault="00A75E66" w:rsidP="00A75E66">
      <w:pPr>
        <w:pStyle w:val="NoSpacing"/>
      </w:pPr>
    </w:p>
    <w:p w:rsidR="00A75E66" w:rsidRPr="0099055D" w:rsidRDefault="00A75E66" w:rsidP="00A75E66">
      <w:pPr>
        <w:pStyle w:val="NoSpacing"/>
      </w:pPr>
      <w:r w:rsidRPr="0099055D">
        <w:rPr>
          <w:b/>
        </w:rPr>
        <w:t xml:space="preserve">Providing a single point of contact </w:t>
      </w:r>
    </w:p>
    <w:p w:rsidR="00A75E66" w:rsidRPr="0099055D" w:rsidRDefault="00A75E66" w:rsidP="00A75E66">
      <w:pPr>
        <w:pStyle w:val="NoSpacing"/>
      </w:pPr>
      <w:r w:rsidRPr="0099055D">
        <w:t>The council works with and part funds the Affordable Warmth Network (AWN) whose helpline dealt with the following from April 2015 – March 2017:</w:t>
      </w:r>
    </w:p>
    <w:p w:rsidR="00A75E66" w:rsidRPr="0099055D" w:rsidRDefault="00A75E66" w:rsidP="00A75E66">
      <w:pPr>
        <w:pStyle w:val="NoSpacing"/>
        <w:numPr>
          <w:ilvl w:val="0"/>
          <w:numId w:val="4"/>
        </w:numPr>
      </w:pPr>
      <w:r w:rsidRPr="0099055D">
        <w:t xml:space="preserve">1,809 contacts for advice with Oxford householders - 240 AWN telephone contacts and 1,569 face to face contacts via events </w:t>
      </w:r>
    </w:p>
    <w:p w:rsidR="00A75E66" w:rsidRPr="0099055D" w:rsidRDefault="00A75E66" w:rsidP="00A75E66">
      <w:pPr>
        <w:pStyle w:val="NoSpacing"/>
        <w:numPr>
          <w:ilvl w:val="0"/>
          <w:numId w:val="4"/>
        </w:numPr>
      </w:pPr>
      <w:r w:rsidRPr="0099055D">
        <w:t>9 of which resulted in insulation measures</w:t>
      </w:r>
    </w:p>
    <w:p w:rsidR="00A75E66" w:rsidRPr="0099055D" w:rsidRDefault="00A75E66" w:rsidP="00A75E66">
      <w:pPr>
        <w:pStyle w:val="NoSpacing"/>
        <w:numPr>
          <w:ilvl w:val="0"/>
          <w:numId w:val="4"/>
        </w:numPr>
      </w:pPr>
      <w:r w:rsidRPr="0099055D">
        <w:t>6 of which resulted in boiler installations</w:t>
      </w:r>
    </w:p>
    <w:p w:rsidR="00A75E66" w:rsidRPr="0099055D" w:rsidRDefault="00A75E66" w:rsidP="00A75E66">
      <w:pPr>
        <w:pStyle w:val="NoSpacing"/>
      </w:pPr>
    </w:p>
    <w:p w:rsidR="00A75E66" w:rsidRPr="0099055D" w:rsidRDefault="00A75E66" w:rsidP="00A75E66">
      <w:pPr>
        <w:pStyle w:val="NoSpacing"/>
        <w:rPr>
          <w:color w:val="000000"/>
        </w:rPr>
      </w:pPr>
      <w:r w:rsidRPr="0099055D">
        <w:t>As a result of the AWN, funding was received for t</w:t>
      </w:r>
      <w:r w:rsidRPr="0099055D">
        <w:rPr>
          <w:color w:val="000000"/>
        </w:rPr>
        <w:t>he Better Housing Better Health project in 2016.  This is an illustration of a joint project to tackle the links between cold, damp housing and health. This installed measures on referral for residents with cardiovascular and respiratory health issues and was supported by 14 Private Sector Safety team visits and Council funding.  This resulted in the following installations or referrals:</w:t>
      </w:r>
    </w:p>
    <w:p w:rsidR="00A75E66" w:rsidRPr="0099055D" w:rsidRDefault="00A75E66" w:rsidP="00A75E66">
      <w:pPr>
        <w:numPr>
          <w:ilvl w:val="0"/>
          <w:numId w:val="2"/>
        </w:numPr>
        <w:autoSpaceDE w:val="0"/>
        <w:autoSpaceDN w:val="0"/>
        <w:adjustRightInd w:val="0"/>
        <w:spacing w:after="0" w:line="241" w:lineRule="atLeast"/>
        <w:rPr>
          <w:color w:val="000000"/>
        </w:rPr>
      </w:pPr>
      <w:r w:rsidRPr="0099055D">
        <w:rPr>
          <w:color w:val="000000"/>
        </w:rPr>
        <w:t>5 Heating Systems or boiler/heating controls replacement</w:t>
      </w:r>
    </w:p>
    <w:p w:rsidR="00A75E66" w:rsidRPr="0099055D" w:rsidRDefault="00A75E66" w:rsidP="00A75E66">
      <w:pPr>
        <w:numPr>
          <w:ilvl w:val="0"/>
          <w:numId w:val="2"/>
        </w:numPr>
        <w:autoSpaceDE w:val="0"/>
        <w:autoSpaceDN w:val="0"/>
        <w:adjustRightInd w:val="0"/>
        <w:spacing w:after="0" w:line="241" w:lineRule="atLeast"/>
        <w:rPr>
          <w:color w:val="000000"/>
        </w:rPr>
      </w:pPr>
      <w:r w:rsidRPr="0099055D">
        <w:rPr>
          <w:color w:val="000000"/>
        </w:rPr>
        <w:t>2 Mould removal</w:t>
      </w:r>
    </w:p>
    <w:p w:rsidR="00A75E66" w:rsidRPr="0099055D" w:rsidRDefault="00A75E66" w:rsidP="00A75E66">
      <w:pPr>
        <w:numPr>
          <w:ilvl w:val="0"/>
          <w:numId w:val="2"/>
        </w:numPr>
        <w:autoSpaceDE w:val="0"/>
        <w:autoSpaceDN w:val="0"/>
        <w:adjustRightInd w:val="0"/>
        <w:spacing w:after="0" w:line="241" w:lineRule="atLeast"/>
        <w:rPr>
          <w:color w:val="000000"/>
        </w:rPr>
      </w:pPr>
      <w:r w:rsidRPr="0099055D">
        <w:rPr>
          <w:color w:val="000000"/>
        </w:rPr>
        <w:t>4 Replacement doors/ glazing</w:t>
      </w:r>
    </w:p>
    <w:p w:rsidR="00A75E66" w:rsidRPr="0099055D" w:rsidRDefault="00A75E66" w:rsidP="00A75E66">
      <w:pPr>
        <w:numPr>
          <w:ilvl w:val="0"/>
          <w:numId w:val="2"/>
        </w:numPr>
        <w:autoSpaceDE w:val="0"/>
        <w:autoSpaceDN w:val="0"/>
        <w:adjustRightInd w:val="0"/>
        <w:spacing w:after="0" w:line="241" w:lineRule="atLeast"/>
        <w:rPr>
          <w:color w:val="000000"/>
        </w:rPr>
      </w:pPr>
      <w:r w:rsidRPr="0099055D">
        <w:rPr>
          <w:color w:val="000000"/>
        </w:rPr>
        <w:t>2 Other energy related services</w:t>
      </w:r>
    </w:p>
    <w:p w:rsidR="00A75E66" w:rsidRPr="0099055D" w:rsidRDefault="00A75E66" w:rsidP="00A75E66">
      <w:pPr>
        <w:numPr>
          <w:ilvl w:val="0"/>
          <w:numId w:val="2"/>
        </w:numPr>
        <w:autoSpaceDE w:val="0"/>
        <w:autoSpaceDN w:val="0"/>
        <w:adjustRightInd w:val="0"/>
        <w:spacing w:after="0" w:line="241" w:lineRule="atLeast"/>
        <w:rPr>
          <w:color w:val="000000"/>
        </w:rPr>
      </w:pPr>
      <w:r w:rsidRPr="0099055D">
        <w:rPr>
          <w:color w:val="000000"/>
        </w:rPr>
        <w:t>19 referrals to the Citizens Advice Bureau for financial help</w:t>
      </w:r>
    </w:p>
    <w:p w:rsidR="00A75E66" w:rsidRPr="0099055D" w:rsidRDefault="00A75E66" w:rsidP="00A75E66">
      <w:pPr>
        <w:autoSpaceDE w:val="0"/>
        <w:autoSpaceDN w:val="0"/>
        <w:adjustRightInd w:val="0"/>
        <w:spacing w:after="0" w:line="241" w:lineRule="atLeast"/>
        <w:rPr>
          <w:color w:val="000000"/>
        </w:rPr>
      </w:pPr>
    </w:p>
    <w:p w:rsidR="00A75E66" w:rsidRPr="0099055D" w:rsidRDefault="00A75E66" w:rsidP="00A75E66">
      <w:pPr>
        <w:autoSpaceDE w:val="0"/>
        <w:autoSpaceDN w:val="0"/>
        <w:adjustRightInd w:val="0"/>
        <w:spacing w:after="0" w:line="241" w:lineRule="atLeast"/>
        <w:rPr>
          <w:color w:val="000000"/>
        </w:rPr>
      </w:pPr>
      <w:r w:rsidRPr="0099055D">
        <w:rPr>
          <w:color w:val="000000"/>
        </w:rPr>
        <w:t xml:space="preserve">The current Local Energy Advice Project (LEAP) project builds on the referral links built by offering </w:t>
      </w:r>
      <w:proofErr w:type="gramStart"/>
      <w:r w:rsidRPr="0099055D">
        <w:rPr>
          <w:color w:val="000000"/>
        </w:rPr>
        <w:t>an</w:t>
      </w:r>
      <w:proofErr w:type="gramEnd"/>
      <w:r w:rsidRPr="0099055D">
        <w:rPr>
          <w:color w:val="000000"/>
        </w:rPr>
        <w:t xml:space="preserve"> holistic home visit, small repairs, income maximisation and energy efficiency measures to improve homes for the ill and vulnerable. Early outputs are summarised in the table below</w:t>
      </w:r>
      <w:r w:rsidR="00DA2C72">
        <w:rPr>
          <w:color w:val="000000"/>
        </w:rPr>
        <w:t>.</w:t>
      </w:r>
      <w:r w:rsidR="00DA2C72" w:rsidRPr="0099055D">
        <w:rPr>
          <w:color w:val="000000"/>
        </w:rPr>
        <w:t xml:space="preserve"> </w:t>
      </w:r>
    </w:p>
    <w:p w:rsidR="00A75E66" w:rsidRPr="0099055D" w:rsidRDefault="00A75E66" w:rsidP="00A75E66">
      <w:pPr>
        <w:autoSpaceDE w:val="0"/>
        <w:autoSpaceDN w:val="0"/>
        <w:adjustRightInd w:val="0"/>
        <w:spacing w:after="0" w:line="241" w:lineRule="atLeast"/>
        <w:rPr>
          <w:color w:val="000000"/>
        </w:rPr>
      </w:pPr>
    </w:p>
    <w:p w:rsidR="00A75E66" w:rsidRPr="0099055D" w:rsidRDefault="00A75E66" w:rsidP="00A75E66">
      <w:pPr>
        <w:spacing w:after="0" w:line="240" w:lineRule="auto"/>
        <w:rPr>
          <w:b/>
          <w:i/>
        </w:rPr>
      </w:pPr>
      <w:r w:rsidRPr="0099055D">
        <w:rPr>
          <w:b/>
          <w:i/>
        </w:rPr>
        <w:t xml:space="preserve">Table 2: LEAP outputs, January – </w:t>
      </w:r>
      <w:r>
        <w:rPr>
          <w:b/>
          <w:i/>
        </w:rPr>
        <w:t xml:space="preserve">17 August </w:t>
      </w:r>
      <w:r w:rsidRPr="0099055D">
        <w:rPr>
          <w:b/>
          <w:i/>
        </w:rPr>
        <w:t>2017</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843"/>
        <w:gridCol w:w="1843"/>
      </w:tblGrid>
      <w:tr w:rsidR="00A75E66" w:rsidRPr="0099055D" w:rsidTr="009A0555">
        <w:trPr>
          <w:trHeight w:val="167"/>
        </w:trPr>
        <w:tc>
          <w:tcPr>
            <w:tcW w:w="4786" w:type="dxa"/>
            <w:shd w:val="clear" w:color="auto" w:fill="BFBFBF" w:themeFill="background1" w:themeFillShade="BF"/>
          </w:tcPr>
          <w:p w:rsidR="00A75E66" w:rsidRPr="0099055D" w:rsidRDefault="00A75E66" w:rsidP="009A0555">
            <w:pPr>
              <w:spacing w:after="0" w:line="240" w:lineRule="auto"/>
              <w:rPr>
                <w:b/>
              </w:rPr>
            </w:pPr>
            <w:r w:rsidRPr="0099055D">
              <w:rPr>
                <w:b/>
              </w:rPr>
              <w:t>LEAP outputs</w:t>
            </w:r>
          </w:p>
        </w:tc>
        <w:tc>
          <w:tcPr>
            <w:tcW w:w="1843" w:type="dxa"/>
            <w:shd w:val="clear" w:color="auto" w:fill="BFBFBF" w:themeFill="background1" w:themeFillShade="BF"/>
          </w:tcPr>
          <w:p w:rsidR="00A75E66" w:rsidRPr="0099055D" w:rsidRDefault="00A75E66" w:rsidP="009A0555">
            <w:pPr>
              <w:spacing w:after="0" w:line="240" w:lineRule="auto"/>
              <w:rPr>
                <w:b/>
              </w:rPr>
            </w:pPr>
            <w:r>
              <w:rPr>
                <w:b/>
                <w:bCs/>
              </w:rPr>
              <w:t>Numbers</w:t>
            </w:r>
          </w:p>
        </w:tc>
        <w:tc>
          <w:tcPr>
            <w:tcW w:w="1843" w:type="dxa"/>
            <w:shd w:val="clear" w:color="auto" w:fill="BFBFBF" w:themeFill="background1" w:themeFillShade="BF"/>
          </w:tcPr>
          <w:p w:rsidR="00A75E66" w:rsidRPr="0099055D" w:rsidRDefault="00A75E66" w:rsidP="009A0555">
            <w:pPr>
              <w:spacing w:after="0" w:line="240" w:lineRule="auto"/>
              <w:rPr>
                <w:b/>
                <w:bCs/>
              </w:rPr>
            </w:pPr>
            <w:r>
              <w:rPr>
                <w:b/>
                <w:bCs/>
              </w:rPr>
              <w:t>Cost savings to resident (lifetime)</w:t>
            </w:r>
          </w:p>
        </w:tc>
      </w:tr>
      <w:tr w:rsidR="00A75E66" w:rsidRPr="0099055D" w:rsidTr="009A0555">
        <w:trPr>
          <w:trHeight w:val="167"/>
        </w:trPr>
        <w:tc>
          <w:tcPr>
            <w:tcW w:w="4786" w:type="dxa"/>
          </w:tcPr>
          <w:p w:rsidR="00A75E66" w:rsidRPr="0099055D" w:rsidRDefault="00A75E66" w:rsidP="009A0555">
            <w:pPr>
              <w:spacing w:after="0" w:line="240" w:lineRule="auto"/>
            </w:pPr>
            <w:r w:rsidRPr="0099055D">
              <w:t>Referrals received</w:t>
            </w:r>
          </w:p>
        </w:tc>
        <w:tc>
          <w:tcPr>
            <w:tcW w:w="1843" w:type="dxa"/>
          </w:tcPr>
          <w:p w:rsidR="00A75E66" w:rsidRPr="0099055D" w:rsidRDefault="00A75E66" w:rsidP="009A0555">
            <w:pPr>
              <w:spacing w:after="0" w:line="240" w:lineRule="auto"/>
            </w:pPr>
            <w:r w:rsidRPr="0099055D">
              <w:rPr>
                <w:bCs/>
              </w:rPr>
              <w:t>81</w:t>
            </w:r>
          </w:p>
        </w:tc>
        <w:tc>
          <w:tcPr>
            <w:tcW w:w="1843" w:type="dxa"/>
          </w:tcPr>
          <w:p w:rsidR="00A75E66" w:rsidRPr="0099055D" w:rsidRDefault="00A75E66" w:rsidP="009A0555">
            <w:pPr>
              <w:spacing w:after="0" w:line="240" w:lineRule="auto"/>
              <w:rPr>
                <w:bCs/>
              </w:rPr>
            </w:pPr>
            <w:r>
              <w:rPr>
                <w:bCs/>
              </w:rPr>
              <w:t>-</w:t>
            </w:r>
          </w:p>
        </w:tc>
      </w:tr>
      <w:tr w:rsidR="00A75E66" w:rsidRPr="0099055D" w:rsidTr="009A0555">
        <w:trPr>
          <w:trHeight w:val="167"/>
        </w:trPr>
        <w:tc>
          <w:tcPr>
            <w:tcW w:w="4786" w:type="dxa"/>
          </w:tcPr>
          <w:p w:rsidR="00A75E66" w:rsidRPr="0099055D" w:rsidRDefault="00A75E66" w:rsidP="009A0555">
            <w:pPr>
              <w:spacing w:after="0" w:line="240" w:lineRule="auto"/>
            </w:pPr>
            <w:r w:rsidRPr="0099055D">
              <w:t>Home Visits Basic completed</w:t>
            </w:r>
          </w:p>
        </w:tc>
        <w:tc>
          <w:tcPr>
            <w:tcW w:w="1843" w:type="dxa"/>
          </w:tcPr>
          <w:p w:rsidR="00A75E66" w:rsidRPr="0099055D" w:rsidRDefault="00A75E66" w:rsidP="009A0555">
            <w:pPr>
              <w:spacing w:after="0" w:line="240" w:lineRule="auto"/>
            </w:pPr>
            <w:r>
              <w:rPr>
                <w:bCs/>
              </w:rPr>
              <w:t>71</w:t>
            </w:r>
          </w:p>
        </w:tc>
        <w:tc>
          <w:tcPr>
            <w:tcW w:w="1843" w:type="dxa"/>
          </w:tcPr>
          <w:p w:rsidR="00A75E66" w:rsidRDefault="00A75E66" w:rsidP="009A0555">
            <w:pPr>
              <w:spacing w:after="0" w:line="240" w:lineRule="auto"/>
              <w:rPr>
                <w:bCs/>
              </w:rPr>
            </w:pPr>
            <w:r>
              <w:rPr>
                <w:bCs/>
              </w:rPr>
              <w:t>-</w:t>
            </w:r>
          </w:p>
        </w:tc>
      </w:tr>
      <w:tr w:rsidR="00A75E66" w:rsidRPr="0099055D" w:rsidTr="009A0555">
        <w:trPr>
          <w:trHeight w:val="167"/>
        </w:trPr>
        <w:tc>
          <w:tcPr>
            <w:tcW w:w="4786" w:type="dxa"/>
          </w:tcPr>
          <w:p w:rsidR="00A75E66" w:rsidRPr="0099055D" w:rsidRDefault="00A75E66" w:rsidP="009A0555">
            <w:pPr>
              <w:spacing w:after="0" w:line="240" w:lineRule="auto"/>
            </w:pPr>
            <w:r>
              <w:t>Energy advice</w:t>
            </w:r>
          </w:p>
        </w:tc>
        <w:tc>
          <w:tcPr>
            <w:tcW w:w="1843" w:type="dxa"/>
          </w:tcPr>
          <w:p w:rsidR="00A75E66" w:rsidRPr="0099055D" w:rsidRDefault="00A75E66" w:rsidP="009A0555">
            <w:pPr>
              <w:spacing w:after="0" w:line="240" w:lineRule="auto"/>
              <w:rPr>
                <w:bCs/>
              </w:rPr>
            </w:pPr>
            <w:r>
              <w:rPr>
                <w:bCs/>
              </w:rPr>
              <w:t>71</w:t>
            </w:r>
          </w:p>
        </w:tc>
        <w:tc>
          <w:tcPr>
            <w:tcW w:w="1843" w:type="dxa"/>
          </w:tcPr>
          <w:p w:rsidR="00A75E66" w:rsidRPr="007A2169" w:rsidRDefault="00A75E66" w:rsidP="009A0555">
            <w:pPr>
              <w:spacing w:after="0" w:line="240" w:lineRule="auto"/>
              <w:rPr>
                <w:bCs/>
              </w:rPr>
            </w:pPr>
            <w:r w:rsidRPr="007A2169">
              <w:rPr>
                <w:bCs/>
              </w:rPr>
              <w:t>£12,654.00</w:t>
            </w:r>
          </w:p>
        </w:tc>
      </w:tr>
      <w:tr w:rsidR="00A75E66" w:rsidRPr="0099055D" w:rsidTr="009A0555">
        <w:trPr>
          <w:trHeight w:val="167"/>
        </w:trPr>
        <w:tc>
          <w:tcPr>
            <w:tcW w:w="4786" w:type="dxa"/>
          </w:tcPr>
          <w:p w:rsidR="00A75E66" w:rsidRPr="0099055D" w:rsidRDefault="00A75E66" w:rsidP="009A0555">
            <w:pPr>
              <w:spacing w:after="0" w:line="240" w:lineRule="auto"/>
            </w:pPr>
            <w:r w:rsidRPr="0099055D">
              <w:t>Income Max (financial support) referrals made</w:t>
            </w:r>
          </w:p>
        </w:tc>
        <w:tc>
          <w:tcPr>
            <w:tcW w:w="1843" w:type="dxa"/>
          </w:tcPr>
          <w:p w:rsidR="00A75E66" w:rsidRPr="0099055D" w:rsidRDefault="00A75E66" w:rsidP="009A0555">
            <w:pPr>
              <w:spacing w:after="0" w:line="240" w:lineRule="auto"/>
            </w:pPr>
            <w:r w:rsidRPr="0099055D">
              <w:rPr>
                <w:bCs/>
              </w:rPr>
              <w:t>23</w:t>
            </w:r>
          </w:p>
        </w:tc>
        <w:tc>
          <w:tcPr>
            <w:tcW w:w="1843" w:type="dxa"/>
          </w:tcPr>
          <w:p w:rsidR="00A75E66" w:rsidRPr="0099055D" w:rsidRDefault="00A75E66" w:rsidP="009A0555">
            <w:pPr>
              <w:spacing w:after="0" w:line="240" w:lineRule="auto"/>
              <w:rPr>
                <w:bCs/>
              </w:rPr>
            </w:pPr>
            <w:r>
              <w:rPr>
                <w:bCs/>
              </w:rPr>
              <w:t>£33,267 est.</w:t>
            </w:r>
          </w:p>
        </w:tc>
      </w:tr>
      <w:tr w:rsidR="00A75E66" w:rsidRPr="0099055D" w:rsidTr="009A0555">
        <w:trPr>
          <w:trHeight w:val="167"/>
        </w:trPr>
        <w:tc>
          <w:tcPr>
            <w:tcW w:w="4786" w:type="dxa"/>
          </w:tcPr>
          <w:p w:rsidR="00A75E66" w:rsidRPr="0099055D" w:rsidRDefault="00A75E66" w:rsidP="009A0555">
            <w:pPr>
              <w:spacing w:after="0" w:line="240" w:lineRule="auto"/>
            </w:pPr>
            <w:r w:rsidRPr="0099055D">
              <w:t xml:space="preserve">Draught excluders </w:t>
            </w:r>
          </w:p>
        </w:tc>
        <w:tc>
          <w:tcPr>
            <w:tcW w:w="1843" w:type="dxa"/>
          </w:tcPr>
          <w:p w:rsidR="00A75E66" w:rsidRPr="0099055D" w:rsidRDefault="00A75E66" w:rsidP="009A0555">
            <w:pPr>
              <w:spacing w:after="0" w:line="240" w:lineRule="auto"/>
            </w:pPr>
            <w:r>
              <w:rPr>
                <w:bCs/>
              </w:rPr>
              <w:t>13</w:t>
            </w:r>
          </w:p>
        </w:tc>
        <w:tc>
          <w:tcPr>
            <w:tcW w:w="1843" w:type="dxa"/>
          </w:tcPr>
          <w:p w:rsidR="00A75E66" w:rsidRPr="0099055D" w:rsidRDefault="00A75E66" w:rsidP="009A0555">
            <w:pPr>
              <w:spacing w:after="0" w:line="240" w:lineRule="auto"/>
              <w:rPr>
                <w:bCs/>
              </w:rPr>
            </w:pPr>
            <w:r>
              <w:rPr>
                <w:bCs/>
              </w:rPr>
              <w:t>£670</w:t>
            </w:r>
          </w:p>
        </w:tc>
      </w:tr>
      <w:tr w:rsidR="00A75E66" w:rsidRPr="0099055D" w:rsidTr="009A0555">
        <w:trPr>
          <w:trHeight w:val="167"/>
        </w:trPr>
        <w:tc>
          <w:tcPr>
            <w:tcW w:w="4786" w:type="dxa"/>
          </w:tcPr>
          <w:p w:rsidR="00A75E66" w:rsidRPr="0099055D" w:rsidRDefault="00A75E66" w:rsidP="009A0555">
            <w:pPr>
              <w:spacing w:after="0" w:line="240" w:lineRule="auto"/>
            </w:pPr>
            <w:r w:rsidRPr="0099055D">
              <w:t>LED Lightbulbs</w:t>
            </w:r>
          </w:p>
        </w:tc>
        <w:tc>
          <w:tcPr>
            <w:tcW w:w="1843" w:type="dxa"/>
          </w:tcPr>
          <w:p w:rsidR="00A75E66" w:rsidRPr="0099055D" w:rsidRDefault="00A75E66" w:rsidP="009A0555">
            <w:pPr>
              <w:spacing w:after="0" w:line="240" w:lineRule="auto"/>
            </w:pPr>
            <w:r>
              <w:rPr>
                <w:bCs/>
              </w:rPr>
              <w:t>176</w:t>
            </w:r>
          </w:p>
        </w:tc>
        <w:tc>
          <w:tcPr>
            <w:tcW w:w="1843" w:type="dxa"/>
          </w:tcPr>
          <w:p w:rsidR="00A75E66" w:rsidRPr="0099055D" w:rsidRDefault="00A75E66" w:rsidP="009A0555">
            <w:pPr>
              <w:spacing w:after="0" w:line="240" w:lineRule="auto"/>
              <w:rPr>
                <w:bCs/>
              </w:rPr>
            </w:pPr>
            <w:r>
              <w:rPr>
                <w:bCs/>
              </w:rPr>
              <w:t>£1,799</w:t>
            </w:r>
          </w:p>
        </w:tc>
      </w:tr>
      <w:tr w:rsidR="00A75E66" w:rsidRPr="0099055D" w:rsidTr="009A0555">
        <w:trPr>
          <w:trHeight w:val="167"/>
        </w:trPr>
        <w:tc>
          <w:tcPr>
            <w:tcW w:w="4786" w:type="dxa"/>
          </w:tcPr>
          <w:p w:rsidR="00A75E66" w:rsidRPr="0099055D" w:rsidRDefault="00A75E66" w:rsidP="009A0555">
            <w:pPr>
              <w:spacing w:after="0" w:line="240" w:lineRule="auto"/>
            </w:pPr>
            <w:r w:rsidRPr="0099055D">
              <w:t>Radiator Reflector Panels</w:t>
            </w:r>
          </w:p>
        </w:tc>
        <w:tc>
          <w:tcPr>
            <w:tcW w:w="1843" w:type="dxa"/>
          </w:tcPr>
          <w:p w:rsidR="00A75E66" w:rsidRPr="0099055D" w:rsidRDefault="00A75E66" w:rsidP="009A0555">
            <w:pPr>
              <w:spacing w:after="0" w:line="240" w:lineRule="auto"/>
            </w:pPr>
            <w:r>
              <w:rPr>
                <w:bCs/>
              </w:rPr>
              <w:t>63</w:t>
            </w:r>
          </w:p>
        </w:tc>
        <w:tc>
          <w:tcPr>
            <w:tcW w:w="1843" w:type="dxa"/>
          </w:tcPr>
          <w:p w:rsidR="00A75E66" w:rsidRPr="0099055D" w:rsidRDefault="00A75E66" w:rsidP="009A0555">
            <w:pPr>
              <w:spacing w:after="0" w:line="240" w:lineRule="auto"/>
              <w:rPr>
                <w:bCs/>
              </w:rPr>
            </w:pPr>
            <w:r>
              <w:rPr>
                <w:bCs/>
              </w:rPr>
              <w:t>£504</w:t>
            </w:r>
          </w:p>
        </w:tc>
      </w:tr>
      <w:tr w:rsidR="00A75E66" w:rsidRPr="0099055D" w:rsidTr="009A0555">
        <w:trPr>
          <w:trHeight w:val="167"/>
        </w:trPr>
        <w:tc>
          <w:tcPr>
            <w:tcW w:w="4786" w:type="dxa"/>
          </w:tcPr>
          <w:p w:rsidR="00A75E66" w:rsidRPr="0099055D" w:rsidRDefault="00A75E66" w:rsidP="009A0555">
            <w:pPr>
              <w:spacing w:after="0" w:line="240" w:lineRule="auto"/>
            </w:pPr>
            <w:r w:rsidRPr="0099055D">
              <w:t>TV Standby</w:t>
            </w:r>
          </w:p>
        </w:tc>
        <w:tc>
          <w:tcPr>
            <w:tcW w:w="1843" w:type="dxa"/>
          </w:tcPr>
          <w:p w:rsidR="00A75E66" w:rsidRPr="0099055D" w:rsidRDefault="00A75E66" w:rsidP="009A0555">
            <w:pPr>
              <w:spacing w:after="0" w:line="240" w:lineRule="auto"/>
              <w:rPr>
                <w:bCs/>
              </w:rPr>
            </w:pPr>
            <w:r>
              <w:rPr>
                <w:bCs/>
              </w:rPr>
              <w:t>20</w:t>
            </w:r>
          </w:p>
        </w:tc>
        <w:tc>
          <w:tcPr>
            <w:tcW w:w="1843" w:type="dxa"/>
          </w:tcPr>
          <w:p w:rsidR="00A75E66" w:rsidRPr="0099055D" w:rsidRDefault="00A75E66" w:rsidP="009A0555">
            <w:pPr>
              <w:spacing w:after="0" w:line="240" w:lineRule="auto"/>
              <w:rPr>
                <w:bCs/>
              </w:rPr>
            </w:pPr>
            <w:r>
              <w:rPr>
                <w:bCs/>
              </w:rPr>
              <w:t>£400</w:t>
            </w:r>
          </w:p>
        </w:tc>
      </w:tr>
      <w:tr w:rsidR="00A75E66" w:rsidRPr="0099055D" w:rsidTr="009A0555">
        <w:trPr>
          <w:trHeight w:val="167"/>
        </w:trPr>
        <w:tc>
          <w:tcPr>
            <w:tcW w:w="4786" w:type="dxa"/>
          </w:tcPr>
          <w:p w:rsidR="00A75E66" w:rsidRPr="0099055D" w:rsidRDefault="00A75E66" w:rsidP="009A0555">
            <w:pPr>
              <w:spacing w:after="0" w:line="240" w:lineRule="auto"/>
            </w:pPr>
            <w:r>
              <w:t>Shower aerator</w:t>
            </w:r>
          </w:p>
        </w:tc>
        <w:tc>
          <w:tcPr>
            <w:tcW w:w="1843" w:type="dxa"/>
          </w:tcPr>
          <w:p w:rsidR="00A75E66" w:rsidRDefault="00A75E66" w:rsidP="009A0555">
            <w:pPr>
              <w:spacing w:after="0" w:line="240" w:lineRule="auto"/>
              <w:rPr>
                <w:bCs/>
              </w:rPr>
            </w:pPr>
            <w:r>
              <w:rPr>
                <w:bCs/>
              </w:rPr>
              <w:t>2</w:t>
            </w:r>
          </w:p>
        </w:tc>
        <w:tc>
          <w:tcPr>
            <w:tcW w:w="1843" w:type="dxa"/>
          </w:tcPr>
          <w:p w:rsidR="00A75E66" w:rsidRDefault="00A75E66" w:rsidP="009A0555">
            <w:pPr>
              <w:spacing w:after="0" w:line="240" w:lineRule="auto"/>
              <w:rPr>
                <w:bCs/>
              </w:rPr>
            </w:pPr>
            <w:r>
              <w:rPr>
                <w:bCs/>
              </w:rPr>
              <w:t>£340</w:t>
            </w:r>
          </w:p>
        </w:tc>
      </w:tr>
      <w:tr w:rsidR="00A75E66" w:rsidRPr="00FE575D" w:rsidTr="009A0555">
        <w:trPr>
          <w:trHeight w:val="167"/>
        </w:trPr>
        <w:tc>
          <w:tcPr>
            <w:tcW w:w="4786" w:type="dxa"/>
          </w:tcPr>
          <w:p w:rsidR="00A75E66" w:rsidRPr="00FE575D" w:rsidRDefault="00A75E66" w:rsidP="009A0555">
            <w:pPr>
              <w:spacing w:after="0" w:line="240" w:lineRule="auto"/>
              <w:rPr>
                <w:b/>
              </w:rPr>
            </w:pPr>
            <w:r>
              <w:rPr>
                <w:b/>
              </w:rPr>
              <w:t>Totals</w:t>
            </w:r>
          </w:p>
        </w:tc>
        <w:tc>
          <w:tcPr>
            <w:tcW w:w="1843" w:type="dxa"/>
          </w:tcPr>
          <w:p w:rsidR="00A75E66" w:rsidRPr="00FE575D" w:rsidRDefault="00A75E66" w:rsidP="009A0555">
            <w:pPr>
              <w:spacing w:after="0" w:line="240" w:lineRule="auto"/>
              <w:rPr>
                <w:b/>
                <w:bCs/>
              </w:rPr>
            </w:pPr>
            <w:r>
              <w:rPr>
                <w:b/>
                <w:bCs/>
              </w:rPr>
              <w:t>-</w:t>
            </w:r>
          </w:p>
        </w:tc>
        <w:tc>
          <w:tcPr>
            <w:tcW w:w="1843" w:type="dxa"/>
          </w:tcPr>
          <w:p w:rsidR="00A75E66" w:rsidRPr="00FE575D" w:rsidRDefault="00A75E66" w:rsidP="009A0555">
            <w:pPr>
              <w:spacing w:after="0" w:line="240" w:lineRule="auto"/>
              <w:rPr>
                <w:b/>
                <w:bCs/>
              </w:rPr>
            </w:pPr>
            <w:r w:rsidRPr="00FE575D">
              <w:rPr>
                <w:b/>
                <w:bCs/>
              </w:rPr>
              <w:t>£49,634</w:t>
            </w:r>
          </w:p>
        </w:tc>
      </w:tr>
    </w:tbl>
    <w:p w:rsidR="00A75E66" w:rsidRPr="0099055D" w:rsidRDefault="00A75E66" w:rsidP="00A75E66">
      <w:pPr>
        <w:pStyle w:val="NoSpacing"/>
        <w:rPr>
          <w:b/>
        </w:rPr>
      </w:pPr>
    </w:p>
    <w:p w:rsidR="00A75E66" w:rsidRPr="0099055D" w:rsidRDefault="00A75E66" w:rsidP="00A75E66">
      <w:pPr>
        <w:pStyle w:val="NoSpacing"/>
      </w:pPr>
      <w:r w:rsidRPr="0099055D">
        <w:rPr>
          <w:b/>
        </w:rPr>
        <w:t>Property improvement</w:t>
      </w:r>
    </w:p>
    <w:p w:rsidR="00A75E66" w:rsidRPr="0099055D" w:rsidRDefault="00A75E66" w:rsidP="00A75E66">
      <w:pPr>
        <w:pStyle w:val="NoSpacing"/>
      </w:pPr>
      <w:r w:rsidRPr="0099055D">
        <w:t xml:space="preserve">Over the past four years, the Council has accessed £761,918 worth of funding through a variety of projects, £397,918 of which is Green Deal or ECO related. These include Warming Barton (free external wall insulation for 18 homes in a deprived area), and insulation programmes on its own housing stock. Ongoing are heating and insulation measures for </w:t>
      </w:r>
      <w:r w:rsidRPr="0099055D">
        <w:lastRenderedPageBreak/>
        <w:t>vulnerable homeowners, and the Council continues to engage with energy suppliers to improve the situation for the fuel poor of Oxford.</w:t>
      </w:r>
    </w:p>
    <w:p w:rsidR="00A75E66" w:rsidRPr="0099055D" w:rsidRDefault="00A75E66" w:rsidP="00A75E66">
      <w:pPr>
        <w:spacing w:after="0" w:line="240" w:lineRule="auto"/>
      </w:pPr>
    </w:p>
    <w:p w:rsidR="00A75E66" w:rsidRPr="0099055D" w:rsidRDefault="00A75E66" w:rsidP="00A75E66">
      <w:pPr>
        <w:autoSpaceDE w:val="0"/>
        <w:autoSpaceDN w:val="0"/>
        <w:adjustRightInd w:val="0"/>
        <w:spacing w:after="0" w:line="241" w:lineRule="atLeast"/>
        <w:rPr>
          <w:b/>
          <w:color w:val="000000"/>
        </w:rPr>
      </w:pPr>
      <w:r w:rsidRPr="0099055D">
        <w:rPr>
          <w:b/>
          <w:color w:val="000000"/>
        </w:rPr>
        <w:t>Home owners</w:t>
      </w:r>
    </w:p>
    <w:p w:rsidR="00A75E66" w:rsidRPr="0099055D" w:rsidRDefault="00A75E66" w:rsidP="003265EE">
      <w:pPr>
        <w:autoSpaceDE w:val="0"/>
        <w:autoSpaceDN w:val="0"/>
        <w:adjustRightInd w:val="0"/>
        <w:spacing w:after="0" w:line="241" w:lineRule="atLeast"/>
      </w:pPr>
      <w:r w:rsidRPr="0099055D">
        <w:rPr>
          <w:color w:val="000000"/>
        </w:rPr>
        <w:t xml:space="preserve">The Council’s Home Improvement Agency (HIA) </w:t>
      </w:r>
      <w:proofErr w:type="gramStart"/>
      <w:r w:rsidRPr="0099055D">
        <w:rPr>
          <w:color w:val="000000"/>
        </w:rPr>
        <w:t>manage</w:t>
      </w:r>
      <w:proofErr w:type="gramEnd"/>
      <w:r w:rsidRPr="0099055D">
        <w:rPr>
          <w:color w:val="000000"/>
        </w:rPr>
        <w:t xml:space="preserve"> a number of energy efficiency related grants and installer routes for vulnerable home owners</w:t>
      </w:r>
      <w:r w:rsidR="00DA2C72">
        <w:rPr>
          <w:color w:val="000000"/>
        </w:rPr>
        <w:t>. I</w:t>
      </w:r>
      <w:r w:rsidRPr="0099055D">
        <w:rPr>
          <w:color w:val="000000"/>
        </w:rPr>
        <w:t>n 2016/17</w:t>
      </w:r>
      <w:r w:rsidRPr="0099055D">
        <w:t>19 measures</w:t>
      </w:r>
      <w:r w:rsidR="00DA2C72">
        <w:t xml:space="preserve"> were</w:t>
      </w:r>
      <w:r w:rsidRPr="0099055D">
        <w:t xml:space="preserve"> installed for vulnerable home owners, mostly new boilers, bringing in £25,732.37of external funding (HIA)</w:t>
      </w:r>
      <w:r w:rsidR="00DA2C72">
        <w:t xml:space="preserve">.  </w:t>
      </w:r>
      <w:r w:rsidRPr="0099055D">
        <w:t>This includes match</w:t>
      </w:r>
      <w:r w:rsidR="00DA2C72">
        <w:t>ed</w:t>
      </w:r>
      <w:r w:rsidRPr="0099055D">
        <w:t xml:space="preserve"> funding </w:t>
      </w:r>
      <w:r w:rsidR="00DA2C72" w:rsidRPr="0099055D">
        <w:t>f</w:t>
      </w:r>
      <w:r w:rsidR="00DA2C72">
        <w:t>rom</w:t>
      </w:r>
      <w:r w:rsidR="00DA2C72" w:rsidRPr="0099055D">
        <w:t xml:space="preserve"> </w:t>
      </w:r>
      <w:r w:rsidRPr="0099055D">
        <w:t>Better Housing Better Health enabling free installs</w:t>
      </w:r>
      <w:r w:rsidR="00DA2C72">
        <w:t>.</w:t>
      </w:r>
    </w:p>
    <w:p w:rsidR="00A75E66" w:rsidRPr="0099055D" w:rsidRDefault="00A75E66" w:rsidP="00A75E66">
      <w:pPr>
        <w:spacing w:after="0" w:line="240" w:lineRule="auto"/>
        <w:rPr>
          <w:b/>
        </w:rPr>
      </w:pPr>
    </w:p>
    <w:p w:rsidR="00A75E66" w:rsidRPr="00343F6E" w:rsidRDefault="00A75E66" w:rsidP="00A75E66">
      <w:pPr>
        <w:spacing w:after="0" w:line="240" w:lineRule="auto"/>
        <w:rPr>
          <w:b/>
        </w:rPr>
      </w:pPr>
      <w:r w:rsidRPr="00343F6E">
        <w:rPr>
          <w:b/>
        </w:rPr>
        <w:t>Private rental</w:t>
      </w:r>
    </w:p>
    <w:p w:rsidR="00A75E66" w:rsidRPr="00343F6E" w:rsidRDefault="00A75E66" w:rsidP="00A75E66">
      <w:pPr>
        <w:spacing w:after="0" w:line="240" w:lineRule="auto"/>
      </w:pPr>
      <w:r w:rsidRPr="00343F6E">
        <w:t>For the private rented sector, the Private Rented Energy Efficiency Grant, from September 2016 that the H</w:t>
      </w:r>
      <w:r w:rsidR="00DA2C72">
        <w:t xml:space="preserve">ome </w:t>
      </w:r>
      <w:r w:rsidRPr="00343F6E">
        <w:t>I</w:t>
      </w:r>
      <w:r w:rsidR="00DA2C72">
        <w:t xml:space="preserve">mprovement </w:t>
      </w:r>
      <w:r w:rsidRPr="00343F6E">
        <w:t>A</w:t>
      </w:r>
      <w:r w:rsidR="00DA2C72">
        <w:t>gency</w:t>
      </w:r>
      <w:r w:rsidRPr="00343F6E">
        <w:t xml:space="preserve"> also run has also produced the following results as of at 31 March 2017</w:t>
      </w:r>
      <w:r w:rsidR="00DA2C72">
        <w:t>.</w:t>
      </w:r>
    </w:p>
    <w:p w:rsidR="00A75E66" w:rsidRPr="00343F6E" w:rsidRDefault="00A75E66" w:rsidP="00A75E66">
      <w:pPr>
        <w:numPr>
          <w:ilvl w:val="0"/>
          <w:numId w:val="3"/>
        </w:numPr>
        <w:spacing w:after="0" w:line="240" w:lineRule="auto"/>
        <w:contextualSpacing/>
      </w:pPr>
      <w:r w:rsidRPr="00343F6E">
        <w:t xml:space="preserve">49 properties surveyed, 15 of which have had all works completed </w:t>
      </w:r>
    </w:p>
    <w:p w:rsidR="00A75E66" w:rsidRPr="00343F6E" w:rsidRDefault="00A75E66" w:rsidP="00A75E66">
      <w:pPr>
        <w:numPr>
          <w:ilvl w:val="0"/>
          <w:numId w:val="3"/>
        </w:numPr>
        <w:spacing w:after="0" w:line="240" w:lineRule="auto"/>
        <w:contextualSpacing/>
      </w:pPr>
      <w:r w:rsidRPr="00343F6E">
        <w:t>11 loft insulations and 4 loft hatch insulations</w:t>
      </w:r>
    </w:p>
    <w:p w:rsidR="00A75E66" w:rsidRPr="00343F6E" w:rsidRDefault="00A75E66" w:rsidP="00A75E66">
      <w:pPr>
        <w:numPr>
          <w:ilvl w:val="0"/>
          <w:numId w:val="3"/>
        </w:numPr>
        <w:spacing w:after="0" w:line="240" w:lineRule="auto"/>
        <w:contextualSpacing/>
      </w:pPr>
      <w:r w:rsidRPr="00343F6E">
        <w:t>8 draught proofing works, 3 pipe insulations, 10 LED lights fitted</w:t>
      </w:r>
    </w:p>
    <w:p w:rsidR="00A75E66" w:rsidRPr="00343F6E" w:rsidRDefault="00A75E66" w:rsidP="00A75E66">
      <w:pPr>
        <w:numPr>
          <w:ilvl w:val="0"/>
          <w:numId w:val="3"/>
        </w:numPr>
        <w:spacing w:after="0" w:line="240" w:lineRule="auto"/>
        <w:contextualSpacing/>
      </w:pPr>
      <w:r w:rsidRPr="00343F6E">
        <w:t>46 Radiator foils fitted and 38 Thermostatic radiators installed</w:t>
      </w:r>
      <w:r w:rsidR="00DA2C72">
        <w:t>.</w:t>
      </w:r>
    </w:p>
    <w:p w:rsidR="00A75E66" w:rsidRPr="00343F6E" w:rsidRDefault="00A75E66" w:rsidP="00A75E66">
      <w:pPr>
        <w:pStyle w:val="NoSpacing"/>
      </w:pPr>
    </w:p>
    <w:p w:rsidR="00A75E66" w:rsidRPr="00343F6E" w:rsidRDefault="00A75E66" w:rsidP="00A75E66">
      <w:pPr>
        <w:pStyle w:val="NoSpacing"/>
      </w:pPr>
      <w:r w:rsidRPr="00343F6E">
        <w:t>Enforcement action taken against landlords with properties rated F &amp; G has improved 100 properties. Thermal imaging of 78 homes has allowed landlords to identify improvements.</w:t>
      </w:r>
    </w:p>
    <w:p w:rsidR="00A75E66" w:rsidRPr="0099055D" w:rsidRDefault="00A75E66" w:rsidP="00A75E66">
      <w:pPr>
        <w:pStyle w:val="NoSpacing"/>
        <w:rPr>
          <w:b/>
          <w:color w:val="FF0000"/>
        </w:rPr>
      </w:pPr>
    </w:p>
    <w:p w:rsidR="00A75E66" w:rsidRPr="0099055D" w:rsidRDefault="00A75E66" w:rsidP="00A75E66">
      <w:pPr>
        <w:pStyle w:val="NoSpacing"/>
        <w:rPr>
          <w:b/>
        </w:rPr>
      </w:pPr>
      <w:r w:rsidRPr="0099055D">
        <w:rPr>
          <w:b/>
        </w:rPr>
        <w:t>Council Housing</w:t>
      </w:r>
    </w:p>
    <w:p w:rsidR="00A75E66" w:rsidRPr="0099055D" w:rsidRDefault="00A75E66" w:rsidP="00A75E66">
      <w:pPr>
        <w:pStyle w:val="NoSpacing"/>
      </w:pPr>
      <w:r w:rsidRPr="0099055D">
        <w:t>The Council levered in £100,000 Green Deal Home Improvement Fund funding and £15,000 ECO funding for external wall insulation programme of 80 of its Council Housing properties. It also obtained £100,000 of ECO funding for cavity wall insulation for 206 properties, and there have been 100 photovoltaic (PV) installations on our own housing stock.</w:t>
      </w:r>
      <w:r>
        <w:t xml:space="preserve">  </w:t>
      </w:r>
    </w:p>
    <w:p w:rsidR="00A75E66" w:rsidRPr="0099055D" w:rsidRDefault="00A75E66" w:rsidP="00A75E66">
      <w:pPr>
        <w:pStyle w:val="NoSpacing"/>
      </w:pPr>
    </w:p>
    <w:p w:rsidR="00A75E66" w:rsidRDefault="00A75E66" w:rsidP="00A75E66">
      <w:pPr>
        <w:pStyle w:val="NoSpacing"/>
      </w:pPr>
      <w:r w:rsidRPr="0099055D">
        <w:t xml:space="preserve">The Tower block refurbishment programme includes external wall insulation, improved ventilation and heating systems to support residents.  A 14.7 </w:t>
      </w:r>
      <w:proofErr w:type="spellStart"/>
      <w:r w:rsidRPr="0099055D">
        <w:t>kWp</w:t>
      </w:r>
      <w:proofErr w:type="spellEnd"/>
      <w:r w:rsidRPr="0099055D">
        <w:t xml:space="preserve"> Solar PV with electricity serving communal areas has been installed on </w:t>
      </w:r>
      <w:proofErr w:type="spellStart"/>
      <w:r w:rsidRPr="0099055D">
        <w:t>Hockmore</w:t>
      </w:r>
      <w:proofErr w:type="spellEnd"/>
      <w:r w:rsidRPr="0099055D">
        <w:t xml:space="preserve"> tower and LED lighting has been installed in communal areas in all tower blocks.</w:t>
      </w:r>
    </w:p>
    <w:p w:rsidR="00A75E66" w:rsidRDefault="00A75E66" w:rsidP="00A75E66">
      <w:pPr>
        <w:pStyle w:val="NoSpacing"/>
      </w:pPr>
    </w:p>
    <w:p w:rsidR="00A75E66" w:rsidRPr="0099055D" w:rsidRDefault="00A75E66" w:rsidP="00A75E66">
      <w:pPr>
        <w:pStyle w:val="NoSpacing"/>
      </w:pPr>
      <w:r>
        <w:t xml:space="preserve">The ERIC research project, assessing the benefits of batteries with </w:t>
      </w:r>
      <w:proofErr w:type="gramStart"/>
      <w:r>
        <w:t>Solar</w:t>
      </w:r>
      <w:proofErr w:type="gramEnd"/>
      <w:r>
        <w:t xml:space="preserve"> photovoltaic panels, is currently finishing off.  The research has enabled the project team to assess which households are benefiting tenants.  Those batteries that offer limited benefit to council housing tenants are being removed but all Solar panels remain, offering free electricity to tenants.</w:t>
      </w:r>
    </w:p>
    <w:p w:rsidR="00A75E66" w:rsidRPr="0099055D" w:rsidRDefault="00A75E66" w:rsidP="00A75E66">
      <w:pPr>
        <w:pStyle w:val="NoSpacing"/>
      </w:pPr>
    </w:p>
    <w:p w:rsidR="000A2F87" w:rsidRPr="00BD0BE9" w:rsidRDefault="000A2F87" w:rsidP="00BD0BE9">
      <w:pPr>
        <w:pStyle w:val="NoSpacing"/>
        <w:rPr>
          <w:b/>
        </w:rPr>
      </w:pPr>
      <w:r w:rsidRPr="00BD0BE9">
        <w:rPr>
          <w:b/>
        </w:rPr>
        <w:t>Welfare Reform</w:t>
      </w:r>
    </w:p>
    <w:p w:rsidR="00BD0BE9" w:rsidRDefault="00277F75" w:rsidP="00BD0BE9">
      <w:pPr>
        <w:pStyle w:val="NoSpacing"/>
      </w:pPr>
      <w:r w:rsidRPr="00277F75">
        <w:t>D</w:t>
      </w:r>
      <w:r w:rsidR="000A2F87">
        <w:t xml:space="preserve">iscretionary </w:t>
      </w:r>
      <w:r w:rsidR="000A2F87" w:rsidRPr="00277F75">
        <w:t>H</w:t>
      </w:r>
      <w:r w:rsidR="000A2F87">
        <w:t xml:space="preserve">ousing </w:t>
      </w:r>
      <w:proofErr w:type="gramStart"/>
      <w:r w:rsidRPr="00277F75">
        <w:t>P</w:t>
      </w:r>
      <w:r w:rsidR="000A2F87">
        <w:t>ayments</w:t>
      </w:r>
      <w:r w:rsidR="00BD0BE9">
        <w:t>(</w:t>
      </w:r>
      <w:proofErr w:type="gramEnd"/>
      <w:r w:rsidR="00BD0BE9">
        <w:t xml:space="preserve">DHPs) were promoted to </w:t>
      </w:r>
      <w:r w:rsidRPr="00277F75">
        <w:t>Private Sector Tenants</w:t>
      </w:r>
      <w:r w:rsidR="00BD0BE9">
        <w:t xml:space="preserve"> as part of a project the Welfare Reform team undertook</w:t>
      </w:r>
      <w:r w:rsidR="00343F6E">
        <w:t xml:space="preserve"> in 2014/15</w:t>
      </w:r>
      <w:r w:rsidR="00BD0BE9">
        <w:t xml:space="preserve"> to support people facing shortfalls between their Housing Benefit and rent. The DHP policy is reviewed on an annual basis to ensure it is fit for purpose.</w:t>
      </w:r>
    </w:p>
    <w:p w:rsidR="00277F75" w:rsidRDefault="00277F75" w:rsidP="00BD0BE9">
      <w:pPr>
        <w:pStyle w:val="NoSpacing"/>
      </w:pPr>
      <w:r>
        <w:t xml:space="preserve"> </w:t>
      </w:r>
    </w:p>
    <w:p w:rsidR="00FB5A06" w:rsidRDefault="00BD0BE9" w:rsidP="00BD0BE9">
      <w:pPr>
        <w:pStyle w:val="NoSpacing"/>
      </w:pPr>
      <w:r>
        <w:t>Council t</w:t>
      </w:r>
      <w:r w:rsidR="00277F75" w:rsidRPr="00277F75">
        <w:t xml:space="preserve">enants </w:t>
      </w:r>
      <w:r>
        <w:t xml:space="preserve">have been supported </w:t>
      </w:r>
      <w:r w:rsidR="00277F75" w:rsidRPr="00277F75">
        <w:t xml:space="preserve">to downsize where </w:t>
      </w:r>
      <w:r>
        <w:t>benefit changes</w:t>
      </w:r>
      <w:r w:rsidR="00277F75" w:rsidRPr="00277F75">
        <w:t xml:space="preserve"> mean their rent is unaffordable</w:t>
      </w:r>
      <w:r>
        <w:t>. This was achieved through a programme of “</w:t>
      </w:r>
      <w:r w:rsidR="00277F75">
        <w:t>speed dating</w:t>
      </w:r>
      <w:r>
        <w:t xml:space="preserve">” events where people needing bigger and smaller properties were introduced, and through the provision of funding to help people with </w:t>
      </w:r>
      <w:r w:rsidR="00277F75">
        <w:t>mov</w:t>
      </w:r>
      <w:r>
        <w:t>ing</w:t>
      </w:r>
      <w:r w:rsidR="00277F75">
        <w:t xml:space="preserve"> </w:t>
      </w:r>
      <w:r>
        <w:t>costs.</w:t>
      </w:r>
      <w:r w:rsidR="009F5C4D">
        <w:t xml:space="preserve"> Since the FIS was adopted in July 201</w:t>
      </w:r>
      <w:r w:rsidR="00343F6E">
        <w:t>4</w:t>
      </w:r>
      <w:r w:rsidR="009F5C4D">
        <w:t xml:space="preserve">, the </w:t>
      </w:r>
      <w:r w:rsidR="006666FC">
        <w:t xml:space="preserve">number of </w:t>
      </w:r>
      <w:r w:rsidR="00DA2C72">
        <w:t xml:space="preserve">local residents </w:t>
      </w:r>
      <w:r w:rsidR="006666FC">
        <w:t xml:space="preserve">affected by the </w:t>
      </w:r>
      <w:r w:rsidR="006666FC" w:rsidRPr="009F5C4D">
        <w:t xml:space="preserve">Bedroom Tax </w:t>
      </w:r>
      <w:r w:rsidR="006666FC">
        <w:t>has</w:t>
      </w:r>
      <w:r w:rsidR="009F5C4D" w:rsidRPr="009F5C4D">
        <w:t xml:space="preserve"> reduced from 707 to 528</w:t>
      </w:r>
      <w:r w:rsidR="006666FC">
        <w:t xml:space="preserve">. In the same period, the Welfare Reform team have also helped 232 </w:t>
      </w:r>
      <w:r w:rsidR="00DA2C72">
        <w:t xml:space="preserve">local people </w:t>
      </w:r>
      <w:r w:rsidR="006666FC">
        <w:t xml:space="preserve">affected by the Benefit Cap to gain an exemption from it, and have supported 201 </w:t>
      </w:r>
      <w:r w:rsidR="00DA2C72">
        <w:t xml:space="preserve">people </w:t>
      </w:r>
      <w:r w:rsidR="006666FC">
        <w:t>into work.</w:t>
      </w:r>
    </w:p>
    <w:p w:rsidR="00BD0BE9" w:rsidRDefault="00BD0BE9" w:rsidP="00BD0BE9">
      <w:pPr>
        <w:pStyle w:val="NoSpacing"/>
      </w:pPr>
    </w:p>
    <w:p w:rsidR="00535572" w:rsidRDefault="00535572" w:rsidP="00BD0BE9">
      <w:pPr>
        <w:pStyle w:val="NoSpacing"/>
        <w:rPr>
          <w:b/>
        </w:rPr>
      </w:pPr>
    </w:p>
    <w:p w:rsidR="00535572" w:rsidRDefault="00535572" w:rsidP="00BD0BE9">
      <w:pPr>
        <w:pStyle w:val="NoSpacing"/>
        <w:rPr>
          <w:b/>
        </w:rPr>
      </w:pPr>
    </w:p>
    <w:p w:rsidR="00FB5A06" w:rsidRDefault="00FB5A06" w:rsidP="00BD0BE9">
      <w:pPr>
        <w:pStyle w:val="NoSpacing"/>
        <w:rPr>
          <w:b/>
        </w:rPr>
      </w:pPr>
      <w:r w:rsidRPr="00BD0BE9">
        <w:rPr>
          <w:b/>
        </w:rPr>
        <w:t>SKILLS</w:t>
      </w:r>
    </w:p>
    <w:p w:rsidR="006666FC" w:rsidRDefault="006666FC" w:rsidP="00BD0BE9">
      <w:pPr>
        <w:pStyle w:val="NoSpacing"/>
      </w:pPr>
      <w:r w:rsidRPr="006666FC">
        <w:t>Through a number of different projects, the Welfare Reform team has developed a service</w:t>
      </w:r>
      <w:r>
        <w:t xml:space="preserve"> which has supported people to remove barriers to work and gain skills to access the workplace or increase their hours of work. A broad partnership network has been developed to ensure that </w:t>
      </w:r>
      <w:r w:rsidR="00DA2C72">
        <w:t xml:space="preserve">local residents </w:t>
      </w:r>
      <w:r>
        <w:t>are adequately supported which includes advice organisations, mental health charities, adult education providers, housing associations and statutory organisations. Its work has been aligned with providers of similar services to ensure its offer is complementary to such provision.</w:t>
      </w:r>
    </w:p>
    <w:p w:rsidR="006666FC" w:rsidRDefault="006666FC" w:rsidP="00BD0BE9">
      <w:pPr>
        <w:pStyle w:val="NoSpacing"/>
      </w:pPr>
    </w:p>
    <w:p w:rsidR="006666FC" w:rsidRDefault="006666FC" w:rsidP="00BD0BE9">
      <w:pPr>
        <w:pStyle w:val="NoSpacing"/>
      </w:pPr>
      <w:r>
        <w:t>In 2014 the Welfare Reform Team was successful in making a bid to the European Social Fund to get funding to extend its work with people</w:t>
      </w:r>
      <w:r w:rsidR="00DA2C72">
        <w:t xml:space="preserve"> living</w:t>
      </w:r>
      <w:r>
        <w:t xml:space="preserve"> in the private rented sector. This experience enabled the team to make successful bids for European Structural and Investment Funding made available through the Local Enterprise Partnership. They are now delivering the LEP’s Community Grants Programme which allows organisations in Oxfordshire to bid for funding to help disadvantaged groups access training and employment. </w:t>
      </w:r>
      <w:r w:rsidR="004A1F61">
        <w:t xml:space="preserve">They also lead a project of ten partners in providing training and employment opportunities to young people not in education, employment or training. </w:t>
      </w:r>
    </w:p>
    <w:p w:rsidR="004A1F61" w:rsidRDefault="004A1F61" w:rsidP="00BD0BE9">
      <w:pPr>
        <w:pStyle w:val="NoSpacing"/>
      </w:pPr>
    </w:p>
    <w:p w:rsidR="004A1F61" w:rsidRDefault="004A1F61" w:rsidP="00BD0BE9">
      <w:pPr>
        <w:pStyle w:val="NoSpacing"/>
      </w:pPr>
      <w:r>
        <w:t xml:space="preserve">The Council has worked with Aspire to put on community job fairs. These have been based in Barton, Rose Hill and The Leys. Job Fairs in Oxford tend to be based in the centre of the city, making it harder for people on low incomes to access. Local events ensure people requiring </w:t>
      </w:r>
      <w:proofErr w:type="gramStart"/>
      <w:r>
        <w:t>work are</w:t>
      </w:r>
      <w:proofErr w:type="gramEnd"/>
      <w:r>
        <w:t xml:space="preserve"> able to access current opportunities.</w:t>
      </w:r>
    </w:p>
    <w:p w:rsidR="006666FC" w:rsidRPr="006666FC" w:rsidRDefault="006666FC" w:rsidP="00BD0BE9">
      <w:pPr>
        <w:pStyle w:val="NoSpacing"/>
      </w:pPr>
    </w:p>
    <w:p w:rsidR="00654F9B" w:rsidRDefault="004A1F61" w:rsidP="00535572">
      <w:pPr>
        <w:pStyle w:val="NoSpacing"/>
      </w:pPr>
      <w:r>
        <w:t xml:space="preserve">Housing </w:t>
      </w:r>
      <w:proofErr w:type="gramStart"/>
      <w:r>
        <w:t>have</w:t>
      </w:r>
      <w:proofErr w:type="gramEnd"/>
      <w:r>
        <w:t xml:space="preserve"> commissioned a </w:t>
      </w:r>
      <w:r w:rsidR="000A2F87" w:rsidRPr="000A2F87">
        <w:t>Tenant Ready Scheme to ensure tenants are equipped with the skills</w:t>
      </w:r>
      <w:r>
        <w:t xml:space="preserve"> they need</w:t>
      </w:r>
      <w:r w:rsidR="000A2F87" w:rsidRPr="000A2F87">
        <w:t xml:space="preserve"> to manage their tenancy, especially payment of rent.</w:t>
      </w:r>
      <w:r>
        <w:t xml:space="preserve"> Th</w:t>
      </w:r>
      <w:r w:rsidR="00A81D18">
        <w:t>ese free courses have</w:t>
      </w:r>
      <w:r>
        <w:t xml:space="preserve"> been provided by Crisis and Connections.</w:t>
      </w:r>
    </w:p>
    <w:p w:rsidR="00654F9B" w:rsidRDefault="00654F9B" w:rsidP="00FB5A06"/>
    <w:p w:rsidR="00654F9B" w:rsidRDefault="00654F9B" w:rsidP="00FB5A06"/>
    <w:p w:rsidR="00654F9B" w:rsidRDefault="00654F9B" w:rsidP="00FB5A06"/>
    <w:p w:rsidR="00654F9B" w:rsidRDefault="00654F9B" w:rsidP="00FB5A06"/>
    <w:p w:rsidR="00654F9B" w:rsidRDefault="00654F9B" w:rsidP="00FB5A06"/>
    <w:p w:rsidR="00654F9B" w:rsidRDefault="00654F9B" w:rsidP="00FB5A06"/>
    <w:p w:rsidR="00654F9B" w:rsidRDefault="00654F9B" w:rsidP="00FB5A06"/>
    <w:p w:rsidR="00654F9B" w:rsidRDefault="00654F9B" w:rsidP="00FB5A06"/>
    <w:p w:rsidR="00654F9B" w:rsidRDefault="00654F9B" w:rsidP="00FB5A06"/>
    <w:p w:rsidR="00654F9B" w:rsidRDefault="00654F9B" w:rsidP="00FB5A06"/>
    <w:p w:rsidR="00654F9B" w:rsidRDefault="00654F9B" w:rsidP="00FB5A06"/>
    <w:p w:rsidR="00654F9B" w:rsidRDefault="00654F9B" w:rsidP="00FB5A06">
      <w:pPr>
        <w:sectPr w:rsidR="00654F9B" w:rsidSect="009701A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
        <w:tblpPr w:leftFromText="180" w:rightFromText="180" w:horzAnchor="margin" w:tblpY="1358"/>
        <w:tblW w:w="13858" w:type="dxa"/>
        <w:tblLayout w:type="fixed"/>
        <w:tblLook w:val="04A0" w:firstRow="1" w:lastRow="0" w:firstColumn="1" w:lastColumn="0" w:noHBand="0" w:noVBand="1"/>
      </w:tblPr>
      <w:tblGrid>
        <w:gridCol w:w="1101"/>
        <w:gridCol w:w="3969"/>
        <w:gridCol w:w="1559"/>
        <w:gridCol w:w="3969"/>
        <w:gridCol w:w="1559"/>
        <w:gridCol w:w="1701"/>
      </w:tblGrid>
      <w:tr w:rsidR="00834020" w:rsidRPr="00384E2E" w:rsidTr="0005251D">
        <w:tc>
          <w:tcPr>
            <w:tcW w:w="1101" w:type="dxa"/>
          </w:tcPr>
          <w:p w:rsidR="00834020" w:rsidRPr="005F5CE7" w:rsidRDefault="00535572" w:rsidP="00384E2E">
            <w:pPr>
              <w:rPr>
                <w:b/>
                <w:sz w:val="20"/>
                <w:szCs w:val="20"/>
              </w:rPr>
            </w:pPr>
            <w:r>
              <w:rPr>
                <w:b/>
                <w:noProof/>
                <w:sz w:val="20"/>
                <w:szCs w:val="20"/>
                <w:lang w:eastAsia="en-GB"/>
              </w:rPr>
              <w:lastRenderedPageBreak/>
              <mc:AlternateContent>
                <mc:Choice Requires="wps">
                  <w:drawing>
                    <wp:anchor distT="0" distB="0" distL="114300" distR="114300" simplePos="0" relativeHeight="251659264" behindDoc="0" locked="0" layoutInCell="1" allowOverlap="1" wp14:anchorId="3B139154" wp14:editId="78BB22D2">
                      <wp:simplePos x="0" y="0"/>
                      <wp:positionH relativeFrom="column">
                        <wp:posOffset>-43132</wp:posOffset>
                      </wp:positionH>
                      <wp:positionV relativeFrom="paragraph">
                        <wp:posOffset>-661011</wp:posOffset>
                      </wp:positionV>
                      <wp:extent cx="5598543" cy="474453"/>
                      <wp:effectExtent l="0" t="0" r="2540" b="1905"/>
                      <wp:wrapNone/>
                      <wp:docPr id="2" name="Text Box 2"/>
                      <wp:cNvGraphicFramePr/>
                      <a:graphic xmlns:a="http://schemas.openxmlformats.org/drawingml/2006/main">
                        <a:graphicData uri="http://schemas.microsoft.com/office/word/2010/wordprocessingShape">
                          <wps:wsp>
                            <wps:cNvSpPr txBox="1"/>
                            <wps:spPr>
                              <a:xfrm>
                                <a:off x="0" y="0"/>
                                <a:ext cx="5598543" cy="4744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DE1" w:rsidRPr="00535572" w:rsidRDefault="00E86DE1">
                                  <w:pPr>
                                    <w:rPr>
                                      <w:b/>
                                    </w:rPr>
                                  </w:pPr>
                                  <w:r w:rsidRPr="00535572">
                                    <w:rPr>
                                      <w:b/>
                                    </w:rPr>
                                    <w:t xml:space="preserve">Appendix </w:t>
                                  </w:r>
                                  <w:r>
                                    <w:rPr>
                                      <w:b/>
                                    </w:rPr>
                                    <w:t>2</w:t>
                                  </w:r>
                                  <w:r w:rsidRPr="00535572">
                                    <w:rPr>
                                      <w:b/>
                                    </w:rPr>
                                    <w:t xml:space="preserve"> – Financial Inclusion Strategy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52.05pt;width:440.85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" fillcolor="white [3201]" stroked="f" strokeweight=".5pt">
                      <v:textbox>
                        <w:txbxContent>
                          <w:p w:rsidR="00E86DE1" w:rsidRPr="00535572" w:rsidRDefault="00E86DE1">
                            <w:pPr>
                              <w:rPr>
                                <w:b/>
                              </w:rPr>
                            </w:pPr>
                            <w:r w:rsidRPr="00535572">
                              <w:rPr>
                                <w:b/>
                              </w:rPr>
                              <w:t xml:space="preserve">Appendix </w:t>
                            </w:r>
                            <w:r>
                              <w:rPr>
                                <w:b/>
                              </w:rPr>
                              <w:t>2</w:t>
                            </w:r>
                            <w:r w:rsidRPr="00535572">
                              <w:rPr>
                                <w:b/>
                              </w:rPr>
                              <w:t xml:space="preserve"> – Financial Inclusion Strategy Action Plan</w:t>
                            </w:r>
                          </w:p>
                        </w:txbxContent>
                      </v:textbox>
                    </v:shape>
                  </w:pict>
                </mc:Fallback>
              </mc:AlternateContent>
            </w:r>
            <w:r w:rsidR="00834020" w:rsidRPr="005F5CE7">
              <w:rPr>
                <w:b/>
                <w:sz w:val="20"/>
                <w:szCs w:val="20"/>
              </w:rPr>
              <w:t>THEME</w:t>
            </w:r>
          </w:p>
        </w:tc>
        <w:tc>
          <w:tcPr>
            <w:tcW w:w="3969" w:type="dxa"/>
          </w:tcPr>
          <w:p w:rsidR="00834020" w:rsidRPr="005F5CE7" w:rsidRDefault="00834020" w:rsidP="00384E2E">
            <w:pPr>
              <w:rPr>
                <w:b/>
                <w:sz w:val="20"/>
                <w:szCs w:val="20"/>
              </w:rPr>
            </w:pPr>
            <w:r w:rsidRPr="005F5CE7">
              <w:rPr>
                <w:b/>
                <w:sz w:val="20"/>
                <w:szCs w:val="20"/>
              </w:rPr>
              <w:t>TASK</w:t>
            </w:r>
          </w:p>
        </w:tc>
        <w:tc>
          <w:tcPr>
            <w:tcW w:w="1559" w:type="dxa"/>
          </w:tcPr>
          <w:p w:rsidR="00834020" w:rsidRPr="005F5CE7" w:rsidRDefault="00834020" w:rsidP="00384E2E">
            <w:pPr>
              <w:rPr>
                <w:b/>
                <w:sz w:val="20"/>
                <w:szCs w:val="20"/>
              </w:rPr>
            </w:pPr>
            <w:r w:rsidRPr="005F5CE7">
              <w:rPr>
                <w:b/>
                <w:sz w:val="20"/>
                <w:szCs w:val="20"/>
              </w:rPr>
              <w:t>TIMESCALE</w:t>
            </w:r>
          </w:p>
        </w:tc>
        <w:tc>
          <w:tcPr>
            <w:tcW w:w="3969" w:type="dxa"/>
          </w:tcPr>
          <w:p w:rsidR="00834020" w:rsidRPr="005F5CE7" w:rsidRDefault="00834020" w:rsidP="00384E2E">
            <w:pPr>
              <w:rPr>
                <w:b/>
                <w:sz w:val="20"/>
                <w:szCs w:val="20"/>
              </w:rPr>
            </w:pPr>
            <w:r w:rsidRPr="005F5CE7">
              <w:rPr>
                <w:b/>
                <w:sz w:val="20"/>
                <w:szCs w:val="20"/>
              </w:rPr>
              <w:t>TARGET/OUTCOME</w:t>
            </w:r>
          </w:p>
        </w:tc>
        <w:tc>
          <w:tcPr>
            <w:tcW w:w="1559" w:type="dxa"/>
          </w:tcPr>
          <w:p w:rsidR="00834020" w:rsidRPr="005F5CE7" w:rsidRDefault="00834020" w:rsidP="00384E2E">
            <w:pPr>
              <w:rPr>
                <w:b/>
                <w:sz w:val="20"/>
                <w:szCs w:val="20"/>
              </w:rPr>
            </w:pPr>
            <w:r w:rsidRPr="005F5CE7">
              <w:rPr>
                <w:b/>
                <w:sz w:val="20"/>
                <w:szCs w:val="20"/>
              </w:rPr>
              <w:t>RESP.</w:t>
            </w:r>
          </w:p>
        </w:tc>
        <w:tc>
          <w:tcPr>
            <w:tcW w:w="1701" w:type="dxa"/>
          </w:tcPr>
          <w:p w:rsidR="00834020" w:rsidRPr="005F5CE7" w:rsidRDefault="00834020" w:rsidP="00384E2E">
            <w:pPr>
              <w:rPr>
                <w:b/>
                <w:sz w:val="20"/>
                <w:szCs w:val="20"/>
              </w:rPr>
            </w:pPr>
            <w:r w:rsidRPr="005F5CE7">
              <w:rPr>
                <w:b/>
                <w:sz w:val="20"/>
                <w:szCs w:val="20"/>
              </w:rPr>
              <w:t>PARTNERS</w:t>
            </w:r>
          </w:p>
        </w:tc>
      </w:tr>
      <w:tr w:rsidR="00834020" w:rsidRPr="00384E2E" w:rsidTr="00C7054C">
        <w:trPr>
          <w:cantSplit/>
          <w:trHeight w:val="1134"/>
        </w:trPr>
        <w:tc>
          <w:tcPr>
            <w:tcW w:w="1101" w:type="dxa"/>
            <w:shd w:val="clear" w:color="auto" w:fill="D9D9D9" w:themeFill="background1" w:themeFillShade="D9"/>
            <w:textDirection w:val="btLr"/>
          </w:tcPr>
          <w:p w:rsidR="00C7054C" w:rsidRDefault="00834020" w:rsidP="00C7054C">
            <w:pPr>
              <w:ind w:left="113" w:right="113"/>
              <w:jc w:val="center"/>
              <w:rPr>
                <w:sz w:val="20"/>
                <w:szCs w:val="20"/>
              </w:rPr>
            </w:pPr>
            <w:r w:rsidRPr="005F5CE7">
              <w:rPr>
                <w:sz w:val="20"/>
                <w:szCs w:val="20"/>
              </w:rPr>
              <w:t>DEBT</w:t>
            </w:r>
            <w:r w:rsidR="00343F6E">
              <w:rPr>
                <w:sz w:val="20"/>
                <w:szCs w:val="20"/>
              </w:rPr>
              <w:t xml:space="preserve"> –</w:t>
            </w:r>
          </w:p>
          <w:p w:rsidR="00834020" w:rsidRPr="005F5CE7" w:rsidRDefault="00343F6E" w:rsidP="00C7054C">
            <w:pPr>
              <w:ind w:left="113" w:right="113"/>
              <w:jc w:val="center"/>
              <w:rPr>
                <w:sz w:val="20"/>
                <w:szCs w:val="20"/>
              </w:rPr>
            </w:pPr>
            <w:r>
              <w:rPr>
                <w:sz w:val="20"/>
                <w:szCs w:val="20"/>
              </w:rPr>
              <w:t>Short Term</w:t>
            </w:r>
          </w:p>
        </w:tc>
        <w:tc>
          <w:tcPr>
            <w:tcW w:w="3969" w:type="dxa"/>
            <w:shd w:val="clear" w:color="auto" w:fill="D9D9D9" w:themeFill="background1" w:themeFillShade="D9"/>
          </w:tcPr>
          <w:p w:rsidR="00834020" w:rsidRPr="00C7054C" w:rsidRDefault="00361E07" w:rsidP="00361E07">
            <w:pPr>
              <w:rPr>
                <w:sz w:val="20"/>
                <w:szCs w:val="20"/>
              </w:rPr>
            </w:pPr>
            <w:r w:rsidRPr="00C7054C">
              <w:rPr>
                <w:sz w:val="20"/>
                <w:szCs w:val="20"/>
              </w:rPr>
              <w:t>Develop new specification for advice contracts as part of the commissioning of advice services for 2018-21</w:t>
            </w:r>
          </w:p>
        </w:tc>
        <w:tc>
          <w:tcPr>
            <w:tcW w:w="1559" w:type="dxa"/>
            <w:shd w:val="clear" w:color="auto" w:fill="D9D9D9" w:themeFill="background1" w:themeFillShade="D9"/>
          </w:tcPr>
          <w:p w:rsidR="00834020" w:rsidRPr="00C7054C" w:rsidRDefault="00361E07" w:rsidP="00384E2E">
            <w:pPr>
              <w:rPr>
                <w:sz w:val="20"/>
                <w:szCs w:val="20"/>
              </w:rPr>
            </w:pPr>
            <w:r w:rsidRPr="00C7054C">
              <w:rPr>
                <w:sz w:val="20"/>
                <w:szCs w:val="20"/>
              </w:rPr>
              <w:t>Oct 2017</w:t>
            </w:r>
          </w:p>
        </w:tc>
        <w:tc>
          <w:tcPr>
            <w:tcW w:w="3969" w:type="dxa"/>
            <w:shd w:val="clear" w:color="auto" w:fill="D9D9D9" w:themeFill="background1" w:themeFillShade="D9"/>
          </w:tcPr>
          <w:p w:rsidR="009A7BB9" w:rsidRPr="00C7054C" w:rsidRDefault="00361E07" w:rsidP="00F30422">
            <w:pPr>
              <w:rPr>
                <w:sz w:val="20"/>
                <w:szCs w:val="20"/>
              </w:rPr>
            </w:pPr>
            <w:r w:rsidRPr="00C7054C">
              <w:rPr>
                <w:sz w:val="20"/>
                <w:szCs w:val="20"/>
              </w:rPr>
              <w:t>A specification which ensures commissioned organisations continue to deliver services</w:t>
            </w:r>
            <w:r w:rsidR="00834020" w:rsidRPr="00C7054C">
              <w:rPr>
                <w:sz w:val="20"/>
                <w:szCs w:val="20"/>
              </w:rPr>
              <w:t xml:space="preserve"> </w:t>
            </w:r>
            <w:r w:rsidRPr="00C7054C">
              <w:rPr>
                <w:sz w:val="20"/>
                <w:szCs w:val="20"/>
              </w:rPr>
              <w:t>which maximise the available funding, and that reflect the recommendations of the Advice Review conducted in 2017</w:t>
            </w:r>
            <w:r w:rsidR="00834020" w:rsidRPr="00C7054C">
              <w:rPr>
                <w:sz w:val="20"/>
                <w:szCs w:val="20"/>
              </w:rPr>
              <w:t>.</w:t>
            </w:r>
          </w:p>
        </w:tc>
        <w:tc>
          <w:tcPr>
            <w:tcW w:w="1559" w:type="dxa"/>
            <w:shd w:val="clear" w:color="auto" w:fill="D9D9D9" w:themeFill="background1" w:themeFillShade="D9"/>
          </w:tcPr>
          <w:p w:rsidR="00834020" w:rsidRPr="005F5CE7" w:rsidRDefault="00361E07" w:rsidP="00361E07">
            <w:pPr>
              <w:rPr>
                <w:sz w:val="20"/>
                <w:szCs w:val="20"/>
              </w:rPr>
            </w:pPr>
            <w:r w:rsidRPr="005F5CE7">
              <w:rPr>
                <w:sz w:val="20"/>
                <w:szCs w:val="20"/>
              </w:rPr>
              <w:t>Revenues &amp; Benefits Programme Manager</w:t>
            </w:r>
          </w:p>
        </w:tc>
        <w:tc>
          <w:tcPr>
            <w:tcW w:w="1701" w:type="dxa"/>
            <w:shd w:val="clear" w:color="auto" w:fill="D9D9D9" w:themeFill="background1" w:themeFillShade="D9"/>
          </w:tcPr>
          <w:p w:rsidR="00834020" w:rsidRPr="005F5CE7" w:rsidRDefault="00361E07" w:rsidP="00384E2E">
            <w:pPr>
              <w:rPr>
                <w:sz w:val="20"/>
                <w:szCs w:val="20"/>
              </w:rPr>
            </w:pPr>
            <w:r w:rsidRPr="005F5CE7">
              <w:rPr>
                <w:sz w:val="20"/>
                <w:szCs w:val="20"/>
              </w:rPr>
              <w:t xml:space="preserve">OCC Communities </w:t>
            </w:r>
          </w:p>
        </w:tc>
      </w:tr>
      <w:tr w:rsidR="00C7054C" w:rsidRPr="00384E2E" w:rsidTr="00C7054C">
        <w:trPr>
          <w:trHeight w:val="555"/>
        </w:trPr>
        <w:tc>
          <w:tcPr>
            <w:tcW w:w="1101" w:type="dxa"/>
            <w:vMerge w:val="restart"/>
            <w:textDirection w:val="btLr"/>
          </w:tcPr>
          <w:p w:rsidR="00C7054C" w:rsidRPr="005F5CE7" w:rsidRDefault="00C7054C" w:rsidP="00C7054C">
            <w:pPr>
              <w:ind w:left="113" w:right="113"/>
              <w:jc w:val="center"/>
              <w:rPr>
                <w:sz w:val="20"/>
                <w:szCs w:val="20"/>
              </w:rPr>
            </w:pPr>
            <w:r>
              <w:rPr>
                <w:sz w:val="20"/>
                <w:szCs w:val="20"/>
              </w:rPr>
              <w:t>DEBT – Long Term</w:t>
            </w:r>
          </w:p>
        </w:tc>
        <w:tc>
          <w:tcPr>
            <w:tcW w:w="3969" w:type="dxa"/>
          </w:tcPr>
          <w:p w:rsidR="00C7054C" w:rsidRDefault="00C7054C" w:rsidP="00361E07">
            <w:pPr>
              <w:rPr>
                <w:sz w:val="20"/>
                <w:szCs w:val="20"/>
              </w:rPr>
            </w:pPr>
            <w:r w:rsidRPr="00C7054C">
              <w:rPr>
                <w:sz w:val="20"/>
                <w:szCs w:val="20"/>
              </w:rPr>
              <w:t>Monit</w:t>
            </w:r>
            <w:r w:rsidR="00C27771">
              <w:rPr>
                <w:sz w:val="20"/>
                <w:szCs w:val="20"/>
              </w:rPr>
              <w:t>or advice contracts against SLA</w:t>
            </w:r>
            <w:r w:rsidRPr="00C7054C">
              <w:rPr>
                <w:sz w:val="20"/>
                <w:szCs w:val="20"/>
              </w:rPr>
              <w:t>s, and use data to support the development of services throughout the life of the contract.</w:t>
            </w:r>
          </w:p>
          <w:p w:rsidR="00F30422" w:rsidRPr="00C7054C" w:rsidRDefault="00F30422" w:rsidP="00361E07">
            <w:pPr>
              <w:rPr>
                <w:sz w:val="20"/>
                <w:szCs w:val="20"/>
              </w:rPr>
            </w:pPr>
          </w:p>
        </w:tc>
        <w:tc>
          <w:tcPr>
            <w:tcW w:w="1559" w:type="dxa"/>
          </w:tcPr>
          <w:p w:rsidR="00C7054C" w:rsidRPr="00C7054C" w:rsidRDefault="00C7054C" w:rsidP="00361E07">
            <w:pPr>
              <w:rPr>
                <w:sz w:val="20"/>
                <w:szCs w:val="20"/>
              </w:rPr>
            </w:pPr>
            <w:r w:rsidRPr="00C7054C">
              <w:rPr>
                <w:sz w:val="20"/>
                <w:szCs w:val="20"/>
              </w:rPr>
              <w:t>Apr 2018 –Mar 2021</w:t>
            </w:r>
          </w:p>
        </w:tc>
        <w:tc>
          <w:tcPr>
            <w:tcW w:w="3969" w:type="dxa"/>
          </w:tcPr>
          <w:p w:rsidR="00C7054C" w:rsidRPr="00C7054C" w:rsidRDefault="00C7054C" w:rsidP="00384E2E">
            <w:pPr>
              <w:rPr>
                <w:sz w:val="20"/>
                <w:szCs w:val="20"/>
              </w:rPr>
            </w:pPr>
            <w:r w:rsidRPr="00C7054C">
              <w:rPr>
                <w:sz w:val="20"/>
                <w:szCs w:val="20"/>
              </w:rPr>
              <w:t>Provision of high quality advice services in partnership with the Council and commissioned organisations.</w:t>
            </w:r>
          </w:p>
        </w:tc>
        <w:tc>
          <w:tcPr>
            <w:tcW w:w="1559" w:type="dxa"/>
          </w:tcPr>
          <w:p w:rsidR="00C7054C" w:rsidRPr="005F5CE7" w:rsidRDefault="00C7054C" w:rsidP="00384E2E">
            <w:pPr>
              <w:rPr>
                <w:sz w:val="20"/>
                <w:szCs w:val="20"/>
              </w:rPr>
            </w:pPr>
            <w:r w:rsidRPr="005F5CE7">
              <w:rPr>
                <w:sz w:val="20"/>
                <w:szCs w:val="20"/>
              </w:rPr>
              <w:t>Revenues &amp; Benefits Programme Manager</w:t>
            </w:r>
          </w:p>
        </w:tc>
        <w:tc>
          <w:tcPr>
            <w:tcW w:w="1701" w:type="dxa"/>
          </w:tcPr>
          <w:p w:rsidR="00C7054C" w:rsidRPr="005F5CE7" w:rsidRDefault="00C7054C" w:rsidP="00384E2E">
            <w:pPr>
              <w:rPr>
                <w:sz w:val="20"/>
                <w:szCs w:val="20"/>
              </w:rPr>
            </w:pPr>
            <w:r w:rsidRPr="005F5CE7">
              <w:rPr>
                <w:sz w:val="20"/>
                <w:szCs w:val="20"/>
              </w:rPr>
              <w:t>Commissioned Organisations</w:t>
            </w:r>
          </w:p>
        </w:tc>
      </w:tr>
      <w:tr w:rsidR="00C7054C" w:rsidRPr="00C7054C" w:rsidTr="0005251D">
        <w:tc>
          <w:tcPr>
            <w:tcW w:w="1101" w:type="dxa"/>
            <w:vMerge/>
          </w:tcPr>
          <w:p w:rsidR="00C7054C" w:rsidRPr="00C7054C" w:rsidRDefault="00C7054C" w:rsidP="00384E2E">
            <w:pPr>
              <w:rPr>
                <w:sz w:val="20"/>
                <w:szCs w:val="20"/>
              </w:rPr>
            </w:pPr>
          </w:p>
        </w:tc>
        <w:tc>
          <w:tcPr>
            <w:tcW w:w="3969" w:type="dxa"/>
          </w:tcPr>
          <w:p w:rsidR="00C7054C" w:rsidRPr="00C7054C" w:rsidRDefault="00C7054C" w:rsidP="00834020">
            <w:pPr>
              <w:rPr>
                <w:sz w:val="20"/>
                <w:szCs w:val="20"/>
              </w:rPr>
            </w:pPr>
            <w:r w:rsidRPr="00C7054C">
              <w:rPr>
                <w:sz w:val="20"/>
                <w:szCs w:val="20"/>
              </w:rPr>
              <w:t>Develop an integrated approach to recovery of different Council debts</w:t>
            </w:r>
            <w:r w:rsidRPr="00C7054C">
              <w:rPr>
                <w:sz w:val="20"/>
                <w:szCs w:val="20"/>
              </w:rPr>
              <w:tab/>
            </w:r>
          </w:p>
          <w:p w:rsidR="00C7054C" w:rsidRPr="00C7054C" w:rsidRDefault="00C7054C" w:rsidP="00834020">
            <w:pPr>
              <w:rPr>
                <w:sz w:val="20"/>
                <w:szCs w:val="20"/>
              </w:rPr>
            </w:pPr>
          </w:p>
        </w:tc>
        <w:tc>
          <w:tcPr>
            <w:tcW w:w="1559" w:type="dxa"/>
          </w:tcPr>
          <w:p w:rsidR="00BC15E1" w:rsidRDefault="00BC15E1" w:rsidP="00384E2E">
            <w:pPr>
              <w:rPr>
                <w:sz w:val="20"/>
                <w:szCs w:val="20"/>
              </w:rPr>
            </w:pPr>
            <w:r>
              <w:rPr>
                <w:sz w:val="20"/>
                <w:szCs w:val="20"/>
              </w:rPr>
              <w:t>Oct 2017 –</w:t>
            </w:r>
          </w:p>
          <w:p w:rsidR="00C7054C" w:rsidRPr="00C7054C" w:rsidRDefault="00C7054C" w:rsidP="00384E2E">
            <w:pPr>
              <w:rPr>
                <w:sz w:val="20"/>
                <w:szCs w:val="20"/>
              </w:rPr>
            </w:pPr>
            <w:r w:rsidRPr="00C7054C">
              <w:rPr>
                <w:sz w:val="20"/>
                <w:szCs w:val="20"/>
              </w:rPr>
              <w:t>Mar 2019</w:t>
            </w:r>
          </w:p>
        </w:tc>
        <w:tc>
          <w:tcPr>
            <w:tcW w:w="3969" w:type="dxa"/>
          </w:tcPr>
          <w:p w:rsidR="00C7054C" w:rsidRPr="00C7054C" w:rsidRDefault="00C7054C" w:rsidP="00834020">
            <w:pPr>
              <w:rPr>
                <w:sz w:val="20"/>
                <w:szCs w:val="20"/>
              </w:rPr>
            </w:pPr>
            <w:r w:rsidRPr="00C7054C">
              <w:rPr>
                <w:sz w:val="20"/>
                <w:szCs w:val="20"/>
              </w:rPr>
              <w:t xml:space="preserve">To ensure all Council debts are considered when making payment arrangements, and to ensure </w:t>
            </w:r>
            <w:r w:rsidR="00DA2C72">
              <w:rPr>
                <w:sz w:val="20"/>
                <w:szCs w:val="20"/>
              </w:rPr>
              <w:t>resident</w:t>
            </w:r>
            <w:r w:rsidR="00DA2C72" w:rsidRPr="00C7054C">
              <w:rPr>
                <w:sz w:val="20"/>
                <w:szCs w:val="20"/>
              </w:rPr>
              <w:t xml:space="preserve">s </w:t>
            </w:r>
            <w:r w:rsidRPr="00C7054C">
              <w:rPr>
                <w:sz w:val="20"/>
                <w:szCs w:val="20"/>
              </w:rPr>
              <w:t>are referred for debt advice and other required support where appropriate.</w:t>
            </w:r>
          </w:p>
          <w:p w:rsidR="00C7054C" w:rsidRPr="00C7054C" w:rsidRDefault="00C7054C" w:rsidP="00834020">
            <w:pPr>
              <w:rPr>
                <w:sz w:val="20"/>
                <w:szCs w:val="20"/>
              </w:rPr>
            </w:pPr>
            <w:r w:rsidRPr="00C7054C">
              <w:rPr>
                <w:sz w:val="20"/>
                <w:szCs w:val="20"/>
              </w:rPr>
              <w:t>Work towards providing a single view of customer debts.</w:t>
            </w:r>
          </w:p>
        </w:tc>
        <w:tc>
          <w:tcPr>
            <w:tcW w:w="1559" w:type="dxa"/>
          </w:tcPr>
          <w:p w:rsidR="00C7054C" w:rsidRPr="00C7054C" w:rsidRDefault="00C7054C" w:rsidP="00384E2E">
            <w:pPr>
              <w:rPr>
                <w:sz w:val="20"/>
                <w:szCs w:val="20"/>
              </w:rPr>
            </w:pPr>
            <w:r w:rsidRPr="00C7054C">
              <w:rPr>
                <w:sz w:val="20"/>
                <w:szCs w:val="20"/>
              </w:rPr>
              <w:t>Revenues  &amp; Benefits Operations Manager</w:t>
            </w:r>
          </w:p>
        </w:tc>
        <w:tc>
          <w:tcPr>
            <w:tcW w:w="1701" w:type="dxa"/>
          </w:tcPr>
          <w:p w:rsidR="00C7054C" w:rsidRPr="00C7054C" w:rsidRDefault="00C7054C" w:rsidP="00384E2E">
            <w:pPr>
              <w:rPr>
                <w:sz w:val="20"/>
                <w:szCs w:val="20"/>
              </w:rPr>
            </w:pPr>
          </w:p>
        </w:tc>
      </w:tr>
      <w:tr w:rsidR="00C7054C" w:rsidRPr="00C7054C" w:rsidTr="0005251D">
        <w:tc>
          <w:tcPr>
            <w:tcW w:w="1101" w:type="dxa"/>
            <w:vMerge/>
          </w:tcPr>
          <w:p w:rsidR="00C7054C" w:rsidRPr="00C7054C" w:rsidRDefault="00C7054C" w:rsidP="00384E2E">
            <w:pPr>
              <w:rPr>
                <w:sz w:val="20"/>
                <w:szCs w:val="20"/>
              </w:rPr>
            </w:pPr>
          </w:p>
        </w:tc>
        <w:tc>
          <w:tcPr>
            <w:tcW w:w="3969" w:type="dxa"/>
          </w:tcPr>
          <w:p w:rsidR="00C7054C" w:rsidRPr="00C7054C" w:rsidRDefault="00C7054C" w:rsidP="00384E2E">
            <w:pPr>
              <w:rPr>
                <w:sz w:val="20"/>
                <w:szCs w:val="20"/>
              </w:rPr>
            </w:pPr>
            <w:r w:rsidRPr="00C7054C">
              <w:rPr>
                <w:sz w:val="20"/>
                <w:szCs w:val="20"/>
              </w:rPr>
              <w:t>Adopt the new Standard Financial Assessment form from the Money Advice Service, when assessing debt repayments.</w:t>
            </w:r>
          </w:p>
          <w:p w:rsidR="00C7054C" w:rsidRPr="00C7054C" w:rsidRDefault="00C7054C" w:rsidP="00384E2E">
            <w:pPr>
              <w:rPr>
                <w:sz w:val="20"/>
                <w:szCs w:val="20"/>
              </w:rPr>
            </w:pPr>
          </w:p>
        </w:tc>
        <w:tc>
          <w:tcPr>
            <w:tcW w:w="1559" w:type="dxa"/>
          </w:tcPr>
          <w:p w:rsidR="00C7054C" w:rsidRPr="00C7054C" w:rsidRDefault="00C7054C" w:rsidP="00384E2E">
            <w:pPr>
              <w:rPr>
                <w:sz w:val="20"/>
                <w:szCs w:val="20"/>
              </w:rPr>
            </w:pPr>
            <w:r w:rsidRPr="00C7054C">
              <w:rPr>
                <w:sz w:val="20"/>
                <w:szCs w:val="20"/>
              </w:rPr>
              <w:t>Mar 2019</w:t>
            </w:r>
          </w:p>
        </w:tc>
        <w:tc>
          <w:tcPr>
            <w:tcW w:w="3969" w:type="dxa"/>
          </w:tcPr>
          <w:p w:rsidR="00C7054C" w:rsidRPr="00C7054C" w:rsidRDefault="00C7054C" w:rsidP="00384E2E">
            <w:pPr>
              <w:rPr>
                <w:sz w:val="20"/>
                <w:szCs w:val="20"/>
              </w:rPr>
            </w:pPr>
            <w:r w:rsidRPr="00C7054C">
              <w:rPr>
                <w:sz w:val="20"/>
                <w:szCs w:val="20"/>
              </w:rPr>
              <w:t>Customers are dealt with consistently in determining repayment amounts</w:t>
            </w:r>
          </w:p>
        </w:tc>
        <w:tc>
          <w:tcPr>
            <w:tcW w:w="1559" w:type="dxa"/>
          </w:tcPr>
          <w:p w:rsidR="00C7054C" w:rsidRPr="00C7054C" w:rsidRDefault="00C7054C" w:rsidP="00384E2E">
            <w:pPr>
              <w:rPr>
                <w:sz w:val="20"/>
                <w:szCs w:val="20"/>
              </w:rPr>
            </w:pPr>
            <w:r w:rsidRPr="00C7054C">
              <w:rPr>
                <w:sz w:val="20"/>
                <w:szCs w:val="20"/>
              </w:rPr>
              <w:t>Revenues &amp; Benefits Programme Manager</w:t>
            </w:r>
          </w:p>
        </w:tc>
        <w:tc>
          <w:tcPr>
            <w:tcW w:w="1701" w:type="dxa"/>
          </w:tcPr>
          <w:p w:rsidR="00C7054C" w:rsidRPr="00C7054C" w:rsidRDefault="00C7054C" w:rsidP="003D5DD4">
            <w:pPr>
              <w:rPr>
                <w:sz w:val="20"/>
                <w:szCs w:val="20"/>
              </w:rPr>
            </w:pPr>
            <w:r w:rsidRPr="00C7054C">
              <w:rPr>
                <w:sz w:val="20"/>
                <w:szCs w:val="20"/>
              </w:rPr>
              <w:t>Money Advice Service</w:t>
            </w:r>
          </w:p>
        </w:tc>
      </w:tr>
      <w:tr w:rsidR="00F30422" w:rsidRPr="00C7054C" w:rsidTr="00C7054C">
        <w:tc>
          <w:tcPr>
            <w:tcW w:w="1101" w:type="dxa"/>
            <w:vMerge w:val="restart"/>
            <w:shd w:val="clear" w:color="auto" w:fill="D9D9D9" w:themeFill="background1" w:themeFillShade="D9"/>
            <w:textDirection w:val="btLr"/>
          </w:tcPr>
          <w:p w:rsidR="00F30422" w:rsidRPr="00C7054C" w:rsidRDefault="00F30422" w:rsidP="00F30422">
            <w:pPr>
              <w:ind w:left="113" w:right="113"/>
              <w:jc w:val="center"/>
              <w:rPr>
                <w:sz w:val="20"/>
                <w:szCs w:val="20"/>
              </w:rPr>
            </w:pPr>
            <w:r w:rsidRPr="00C7054C">
              <w:rPr>
                <w:sz w:val="20"/>
                <w:szCs w:val="20"/>
              </w:rPr>
              <w:t>INCOME – Short Term</w:t>
            </w:r>
          </w:p>
        </w:tc>
        <w:tc>
          <w:tcPr>
            <w:tcW w:w="3969" w:type="dxa"/>
            <w:shd w:val="clear" w:color="auto" w:fill="D9D9D9" w:themeFill="background1" w:themeFillShade="D9"/>
          </w:tcPr>
          <w:p w:rsidR="00F30422" w:rsidRPr="00C7054C" w:rsidRDefault="00F30422" w:rsidP="00F30422">
            <w:pPr>
              <w:rPr>
                <w:sz w:val="20"/>
                <w:szCs w:val="20"/>
              </w:rPr>
            </w:pPr>
            <w:r>
              <w:rPr>
                <w:sz w:val="20"/>
                <w:szCs w:val="20"/>
              </w:rPr>
              <w:t>Provide short term support for households left with no income as they migrate to Universal Credit</w:t>
            </w:r>
          </w:p>
        </w:tc>
        <w:tc>
          <w:tcPr>
            <w:tcW w:w="1559" w:type="dxa"/>
            <w:shd w:val="clear" w:color="auto" w:fill="D9D9D9" w:themeFill="background1" w:themeFillShade="D9"/>
          </w:tcPr>
          <w:p w:rsidR="00F30422" w:rsidRDefault="00F30422" w:rsidP="00BC15E1">
            <w:pPr>
              <w:rPr>
                <w:sz w:val="20"/>
                <w:szCs w:val="20"/>
              </w:rPr>
            </w:pPr>
            <w:r>
              <w:rPr>
                <w:sz w:val="20"/>
                <w:szCs w:val="20"/>
              </w:rPr>
              <w:t>Oct 2017 – Mar 2020</w:t>
            </w:r>
          </w:p>
        </w:tc>
        <w:tc>
          <w:tcPr>
            <w:tcW w:w="3969" w:type="dxa"/>
            <w:shd w:val="clear" w:color="auto" w:fill="D9D9D9" w:themeFill="background1" w:themeFillShade="D9"/>
          </w:tcPr>
          <w:p w:rsidR="00F30422" w:rsidRPr="00C7054C" w:rsidRDefault="00F30422" w:rsidP="009A7BB9">
            <w:pPr>
              <w:rPr>
                <w:sz w:val="20"/>
                <w:szCs w:val="20"/>
              </w:rPr>
            </w:pPr>
            <w:r>
              <w:rPr>
                <w:sz w:val="20"/>
                <w:szCs w:val="20"/>
              </w:rPr>
              <w:t>Ensure residents have sufficient income to fund essential living costs</w:t>
            </w:r>
          </w:p>
        </w:tc>
        <w:tc>
          <w:tcPr>
            <w:tcW w:w="1559" w:type="dxa"/>
            <w:shd w:val="clear" w:color="auto" w:fill="D9D9D9" w:themeFill="background1" w:themeFillShade="D9"/>
          </w:tcPr>
          <w:p w:rsidR="00F30422" w:rsidRPr="00C7054C" w:rsidRDefault="00F30422" w:rsidP="009A7BB9">
            <w:pPr>
              <w:rPr>
                <w:sz w:val="20"/>
                <w:szCs w:val="20"/>
              </w:rPr>
            </w:pPr>
            <w:r w:rsidRPr="00F30422">
              <w:rPr>
                <w:sz w:val="20"/>
                <w:szCs w:val="20"/>
              </w:rPr>
              <w:t>Revenues &amp; Benefits Programme Manager</w:t>
            </w:r>
          </w:p>
        </w:tc>
        <w:tc>
          <w:tcPr>
            <w:tcW w:w="1701" w:type="dxa"/>
            <w:shd w:val="clear" w:color="auto" w:fill="D9D9D9" w:themeFill="background1" w:themeFillShade="D9"/>
          </w:tcPr>
          <w:p w:rsidR="00F30422" w:rsidRPr="00C7054C" w:rsidRDefault="00F30422" w:rsidP="009A7BB9">
            <w:pPr>
              <w:rPr>
                <w:sz w:val="20"/>
                <w:szCs w:val="20"/>
              </w:rPr>
            </w:pPr>
          </w:p>
        </w:tc>
      </w:tr>
      <w:tr w:rsidR="00F30422" w:rsidRPr="00C7054C" w:rsidTr="00C7054C">
        <w:tc>
          <w:tcPr>
            <w:tcW w:w="1101" w:type="dxa"/>
            <w:vMerge/>
            <w:shd w:val="clear" w:color="auto" w:fill="D9D9D9" w:themeFill="background1" w:themeFillShade="D9"/>
            <w:textDirection w:val="btLr"/>
          </w:tcPr>
          <w:p w:rsidR="00F30422" w:rsidRPr="00C7054C" w:rsidRDefault="00F30422" w:rsidP="00C7054C">
            <w:pPr>
              <w:ind w:left="113" w:right="113"/>
              <w:jc w:val="center"/>
              <w:rPr>
                <w:sz w:val="20"/>
                <w:szCs w:val="20"/>
              </w:rPr>
            </w:pPr>
          </w:p>
        </w:tc>
        <w:tc>
          <w:tcPr>
            <w:tcW w:w="3969" w:type="dxa"/>
            <w:shd w:val="clear" w:color="auto" w:fill="D9D9D9" w:themeFill="background1" w:themeFillShade="D9"/>
          </w:tcPr>
          <w:p w:rsidR="00F30422" w:rsidRPr="00C7054C" w:rsidRDefault="00F30422" w:rsidP="009A7BB9">
            <w:pPr>
              <w:rPr>
                <w:sz w:val="20"/>
                <w:szCs w:val="20"/>
              </w:rPr>
            </w:pPr>
            <w:r w:rsidRPr="00C7054C">
              <w:rPr>
                <w:sz w:val="20"/>
                <w:szCs w:val="20"/>
              </w:rPr>
              <w:t>Work with Oxfordshire Credit Union to promote its service, and to inform the public about the dangers of unaffordable credit.</w:t>
            </w:r>
          </w:p>
        </w:tc>
        <w:tc>
          <w:tcPr>
            <w:tcW w:w="1559" w:type="dxa"/>
            <w:shd w:val="clear" w:color="auto" w:fill="D9D9D9" w:themeFill="background1" w:themeFillShade="D9"/>
          </w:tcPr>
          <w:p w:rsidR="00F30422" w:rsidRPr="00C7054C" w:rsidRDefault="00F30422" w:rsidP="00BC15E1">
            <w:pPr>
              <w:rPr>
                <w:sz w:val="20"/>
                <w:szCs w:val="20"/>
              </w:rPr>
            </w:pPr>
            <w:r>
              <w:rPr>
                <w:sz w:val="20"/>
                <w:szCs w:val="20"/>
              </w:rPr>
              <w:t>Oct 2017</w:t>
            </w:r>
            <w:r w:rsidRPr="00C7054C">
              <w:rPr>
                <w:sz w:val="20"/>
                <w:szCs w:val="20"/>
              </w:rPr>
              <w:t xml:space="preserve"> – Mar 202</w:t>
            </w:r>
            <w:r>
              <w:rPr>
                <w:sz w:val="20"/>
                <w:szCs w:val="20"/>
              </w:rPr>
              <w:t>0</w:t>
            </w:r>
          </w:p>
        </w:tc>
        <w:tc>
          <w:tcPr>
            <w:tcW w:w="3969" w:type="dxa"/>
            <w:shd w:val="clear" w:color="auto" w:fill="D9D9D9" w:themeFill="background1" w:themeFillShade="D9"/>
          </w:tcPr>
          <w:p w:rsidR="00F30422" w:rsidRPr="00C7054C" w:rsidRDefault="00F30422" w:rsidP="009A7BB9">
            <w:pPr>
              <w:rPr>
                <w:sz w:val="20"/>
                <w:szCs w:val="20"/>
              </w:rPr>
            </w:pPr>
            <w:r w:rsidRPr="00C7054C">
              <w:rPr>
                <w:sz w:val="20"/>
                <w:szCs w:val="20"/>
              </w:rPr>
              <w:t>Increase the number of Oxford residents who are saving with the Credit Union.</w:t>
            </w:r>
          </w:p>
        </w:tc>
        <w:tc>
          <w:tcPr>
            <w:tcW w:w="1559" w:type="dxa"/>
            <w:shd w:val="clear" w:color="auto" w:fill="D9D9D9" w:themeFill="background1" w:themeFillShade="D9"/>
          </w:tcPr>
          <w:p w:rsidR="00F30422" w:rsidRPr="00C7054C" w:rsidRDefault="00F30422" w:rsidP="009A7BB9">
            <w:pPr>
              <w:rPr>
                <w:sz w:val="20"/>
                <w:szCs w:val="20"/>
              </w:rPr>
            </w:pPr>
            <w:r w:rsidRPr="00C7054C">
              <w:rPr>
                <w:sz w:val="20"/>
                <w:szCs w:val="20"/>
              </w:rPr>
              <w:t>Revenues &amp; Benefits Programme Manager</w:t>
            </w:r>
          </w:p>
        </w:tc>
        <w:tc>
          <w:tcPr>
            <w:tcW w:w="1701" w:type="dxa"/>
            <w:shd w:val="clear" w:color="auto" w:fill="D9D9D9" w:themeFill="background1" w:themeFillShade="D9"/>
          </w:tcPr>
          <w:p w:rsidR="00F30422" w:rsidRPr="00C7054C" w:rsidRDefault="00F30422" w:rsidP="009A7BB9">
            <w:pPr>
              <w:rPr>
                <w:sz w:val="20"/>
                <w:szCs w:val="20"/>
              </w:rPr>
            </w:pPr>
            <w:r w:rsidRPr="00C7054C">
              <w:rPr>
                <w:sz w:val="20"/>
                <w:szCs w:val="20"/>
              </w:rPr>
              <w:t>Oxfordshire Credit Union</w:t>
            </w:r>
          </w:p>
        </w:tc>
      </w:tr>
      <w:tr w:rsidR="00F30422" w:rsidRPr="00C7054C" w:rsidTr="00C7054C">
        <w:tc>
          <w:tcPr>
            <w:tcW w:w="1101" w:type="dxa"/>
            <w:vMerge/>
            <w:shd w:val="clear" w:color="auto" w:fill="D9D9D9" w:themeFill="background1" w:themeFillShade="D9"/>
          </w:tcPr>
          <w:p w:rsidR="00F30422" w:rsidRPr="00C7054C" w:rsidRDefault="00F30422" w:rsidP="009A7BB9">
            <w:pPr>
              <w:rPr>
                <w:sz w:val="20"/>
                <w:szCs w:val="20"/>
              </w:rPr>
            </w:pPr>
          </w:p>
        </w:tc>
        <w:tc>
          <w:tcPr>
            <w:tcW w:w="3969" w:type="dxa"/>
            <w:shd w:val="clear" w:color="auto" w:fill="D9D9D9" w:themeFill="background1" w:themeFillShade="D9"/>
          </w:tcPr>
          <w:p w:rsidR="00F30422" w:rsidRPr="00C7054C" w:rsidRDefault="00F30422" w:rsidP="009A7BB9">
            <w:pPr>
              <w:rPr>
                <w:sz w:val="20"/>
                <w:szCs w:val="20"/>
              </w:rPr>
            </w:pPr>
            <w:r w:rsidRPr="00C7054C">
              <w:rPr>
                <w:sz w:val="20"/>
                <w:szCs w:val="20"/>
              </w:rPr>
              <w:t>Continue to rollout direct payment of Housing Benefit to eligible working age tenants</w:t>
            </w:r>
          </w:p>
        </w:tc>
        <w:tc>
          <w:tcPr>
            <w:tcW w:w="1559" w:type="dxa"/>
            <w:shd w:val="clear" w:color="auto" w:fill="D9D9D9" w:themeFill="background1" w:themeFillShade="D9"/>
          </w:tcPr>
          <w:p w:rsidR="00F30422" w:rsidRPr="00C7054C" w:rsidRDefault="00F30422" w:rsidP="009A7BB9">
            <w:pPr>
              <w:rPr>
                <w:sz w:val="20"/>
                <w:szCs w:val="20"/>
              </w:rPr>
            </w:pPr>
            <w:r>
              <w:rPr>
                <w:sz w:val="20"/>
                <w:szCs w:val="20"/>
              </w:rPr>
              <w:t>Oct 2017</w:t>
            </w:r>
            <w:r w:rsidRPr="00C7054C">
              <w:rPr>
                <w:sz w:val="20"/>
                <w:szCs w:val="20"/>
              </w:rPr>
              <w:t xml:space="preserve"> – Mar 2020</w:t>
            </w:r>
          </w:p>
        </w:tc>
        <w:tc>
          <w:tcPr>
            <w:tcW w:w="3969" w:type="dxa"/>
            <w:shd w:val="clear" w:color="auto" w:fill="D9D9D9" w:themeFill="background1" w:themeFillShade="D9"/>
          </w:tcPr>
          <w:p w:rsidR="00F30422" w:rsidRPr="00C7054C" w:rsidRDefault="00F30422" w:rsidP="009A7BB9">
            <w:pPr>
              <w:rPr>
                <w:sz w:val="20"/>
                <w:szCs w:val="20"/>
              </w:rPr>
            </w:pPr>
            <w:r w:rsidRPr="00C7054C">
              <w:rPr>
                <w:sz w:val="20"/>
                <w:szCs w:val="20"/>
              </w:rPr>
              <w:t>Prepare tenants and the Council for Universal Credit</w:t>
            </w:r>
          </w:p>
        </w:tc>
        <w:tc>
          <w:tcPr>
            <w:tcW w:w="1559" w:type="dxa"/>
            <w:shd w:val="clear" w:color="auto" w:fill="D9D9D9" w:themeFill="background1" w:themeFillShade="D9"/>
          </w:tcPr>
          <w:p w:rsidR="00F30422" w:rsidRPr="00C7054C" w:rsidRDefault="00F30422" w:rsidP="009A7BB9">
            <w:pPr>
              <w:rPr>
                <w:sz w:val="20"/>
                <w:szCs w:val="20"/>
              </w:rPr>
            </w:pPr>
            <w:r w:rsidRPr="00C7054C">
              <w:rPr>
                <w:sz w:val="20"/>
                <w:szCs w:val="20"/>
              </w:rPr>
              <w:t>Incomes Manager</w:t>
            </w:r>
          </w:p>
        </w:tc>
        <w:tc>
          <w:tcPr>
            <w:tcW w:w="1701" w:type="dxa"/>
            <w:shd w:val="clear" w:color="auto" w:fill="D9D9D9" w:themeFill="background1" w:themeFillShade="D9"/>
          </w:tcPr>
          <w:p w:rsidR="00F30422" w:rsidRPr="00C7054C" w:rsidRDefault="00F30422" w:rsidP="009A7BB9">
            <w:pPr>
              <w:rPr>
                <w:sz w:val="20"/>
                <w:szCs w:val="20"/>
              </w:rPr>
            </w:pPr>
          </w:p>
        </w:tc>
      </w:tr>
      <w:tr w:rsidR="00F30422" w:rsidRPr="00C7054C" w:rsidTr="00C7054C">
        <w:tc>
          <w:tcPr>
            <w:tcW w:w="1101" w:type="dxa"/>
            <w:vMerge/>
            <w:shd w:val="clear" w:color="auto" w:fill="D9D9D9" w:themeFill="background1" w:themeFillShade="D9"/>
          </w:tcPr>
          <w:p w:rsidR="00F30422" w:rsidRPr="00C7054C" w:rsidRDefault="00F30422" w:rsidP="009A7BB9">
            <w:pPr>
              <w:rPr>
                <w:sz w:val="20"/>
                <w:szCs w:val="20"/>
              </w:rPr>
            </w:pPr>
          </w:p>
        </w:tc>
        <w:tc>
          <w:tcPr>
            <w:tcW w:w="3969" w:type="dxa"/>
            <w:shd w:val="clear" w:color="auto" w:fill="D9D9D9" w:themeFill="background1" w:themeFillShade="D9"/>
          </w:tcPr>
          <w:p w:rsidR="00F30422" w:rsidRPr="00C7054C" w:rsidRDefault="00F30422" w:rsidP="009A7BB9">
            <w:pPr>
              <w:rPr>
                <w:sz w:val="20"/>
                <w:szCs w:val="20"/>
              </w:rPr>
            </w:pPr>
            <w:r w:rsidRPr="00C7054C">
              <w:rPr>
                <w:sz w:val="20"/>
                <w:szCs w:val="20"/>
              </w:rPr>
              <w:t>Develop a Personal Budgeting Support offer for Universal Credit customers, and keep this under review as UC rolls out.</w:t>
            </w:r>
          </w:p>
        </w:tc>
        <w:tc>
          <w:tcPr>
            <w:tcW w:w="1559" w:type="dxa"/>
            <w:shd w:val="clear" w:color="auto" w:fill="D9D9D9" w:themeFill="background1" w:themeFillShade="D9"/>
          </w:tcPr>
          <w:p w:rsidR="00F30422" w:rsidRPr="00C7054C" w:rsidRDefault="00F30422" w:rsidP="009A7BB9">
            <w:pPr>
              <w:rPr>
                <w:sz w:val="20"/>
                <w:szCs w:val="20"/>
              </w:rPr>
            </w:pPr>
            <w:r w:rsidRPr="00C7054C">
              <w:rPr>
                <w:sz w:val="20"/>
                <w:szCs w:val="20"/>
              </w:rPr>
              <w:t>In place by Oct 17, then ongoing</w:t>
            </w:r>
          </w:p>
        </w:tc>
        <w:tc>
          <w:tcPr>
            <w:tcW w:w="3969" w:type="dxa"/>
            <w:shd w:val="clear" w:color="auto" w:fill="D9D9D9" w:themeFill="background1" w:themeFillShade="D9"/>
          </w:tcPr>
          <w:p w:rsidR="00F30422" w:rsidRPr="00C7054C" w:rsidRDefault="00F30422" w:rsidP="009A7BB9">
            <w:pPr>
              <w:rPr>
                <w:sz w:val="20"/>
                <w:szCs w:val="20"/>
              </w:rPr>
            </w:pPr>
            <w:r w:rsidRPr="00C7054C">
              <w:rPr>
                <w:sz w:val="20"/>
                <w:szCs w:val="20"/>
              </w:rPr>
              <w:t>To ensure people migrating to UC are able to manage the monthly payment of benefit.</w:t>
            </w:r>
          </w:p>
        </w:tc>
        <w:tc>
          <w:tcPr>
            <w:tcW w:w="1559" w:type="dxa"/>
            <w:shd w:val="clear" w:color="auto" w:fill="D9D9D9" w:themeFill="background1" w:themeFillShade="D9"/>
          </w:tcPr>
          <w:p w:rsidR="00F30422" w:rsidRPr="00C7054C" w:rsidRDefault="00F30422" w:rsidP="009A7BB9">
            <w:pPr>
              <w:rPr>
                <w:sz w:val="20"/>
                <w:szCs w:val="20"/>
              </w:rPr>
            </w:pPr>
            <w:r w:rsidRPr="00C7054C">
              <w:rPr>
                <w:sz w:val="20"/>
                <w:szCs w:val="20"/>
              </w:rPr>
              <w:t>Welfare Reform Manager</w:t>
            </w:r>
          </w:p>
        </w:tc>
        <w:tc>
          <w:tcPr>
            <w:tcW w:w="1701" w:type="dxa"/>
            <w:shd w:val="clear" w:color="auto" w:fill="D9D9D9" w:themeFill="background1" w:themeFillShade="D9"/>
          </w:tcPr>
          <w:p w:rsidR="00F30422" w:rsidRPr="00C7054C" w:rsidRDefault="00F30422" w:rsidP="009A7BB9">
            <w:pPr>
              <w:rPr>
                <w:sz w:val="20"/>
                <w:szCs w:val="20"/>
              </w:rPr>
            </w:pPr>
            <w:r w:rsidRPr="00C7054C">
              <w:rPr>
                <w:sz w:val="20"/>
                <w:szCs w:val="20"/>
              </w:rPr>
              <w:t xml:space="preserve">Jobcentre Plus </w:t>
            </w:r>
          </w:p>
        </w:tc>
      </w:tr>
      <w:tr w:rsidR="00F30422" w:rsidRPr="00C7054C" w:rsidTr="00C7054C">
        <w:tc>
          <w:tcPr>
            <w:tcW w:w="1101" w:type="dxa"/>
            <w:vMerge/>
            <w:shd w:val="clear" w:color="auto" w:fill="D9D9D9" w:themeFill="background1" w:themeFillShade="D9"/>
          </w:tcPr>
          <w:p w:rsidR="00F30422" w:rsidRPr="00C7054C" w:rsidRDefault="00F30422" w:rsidP="00F30422">
            <w:pPr>
              <w:rPr>
                <w:sz w:val="20"/>
                <w:szCs w:val="20"/>
              </w:rPr>
            </w:pPr>
          </w:p>
        </w:tc>
        <w:tc>
          <w:tcPr>
            <w:tcW w:w="3969" w:type="dxa"/>
            <w:shd w:val="clear" w:color="auto" w:fill="D9D9D9" w:themeFill="background1" w:themeFillShade="D9"/>
          </w:tcPr>
          <w:p w:rsidR="00F30422" w:rsidRPr="00C7054C" w:rsidRDefault="00F30422" w:rsidP="00F30422">
            <w:pPr>
              <w:rPr>
                <w:b/>
                <w:sz w:val="20"/>
                <w:szCs w:val="20"/>
              </w:rPr>
            </w:pPr>
            <w:r w:rsidRPr="00C7054C">
              <w:rPr>
                <w:b/>
                <w:sz w:val="20"/>
                <w:szCs w:val="20"/>
              </w:rPr>
              <w:t>TASK</w:t>
            </w:r>
          </w:p>
        </w:tc>
        <w:tc>
          <w:tcPr>
            <w:tcW w:w="1559" w:type="dxa"/>
            <w:shd w:val="clear" w:color="auto" w:fill="D9D9D9" w:themeFill="background1" w:themeFillShade="D9"/>
          </w:tcPr>
          <w:p w:rsidR="00F30422" w:rsidRPr="00C7054C" w:rsidRDefault="00F30422" w:rsidP="00F30422">
            <w:pPr>
              <w:rPr>
                <w:b/>
                <w:sz w:val="20"/>
                <w:szCs w:val="20"/>
              </w:rPr>
            </w:pPr>
            <w:r w:rsidRPr="00C7054C">
              <w:rPr>
                <w:b/>
                <w:sz w:val="20"/>
                <w:szCs w:val="20"/>
              </w:rPr>
              <w:t>TIMESCALE</w:t>
            </w:r>
          </w:p>
        </w:tc>
        <w:tc>
          <w:tcPr>
            <w:tcW w:w="3969" w:type="dxa"/>
            <w:shd w:val="clear" w:color="auto" w:fill="D9D9D9" w:themeFill="background1" w:themeFillShade="D9"/>
          </w:tcPr>
          <w:p w:rsidR="00F30422" w:rsidRPr="00C7054C" w:rsidRDefault="00F30422" w:rsidP="00F30422">
            <w:pPr>
              <w:rPr>
                <w:b/>
                <w:sz w:val="20"/>
                <w:szCs w:val="20"/>
              </w:rPr>
            </w:pPr>
            <w:r w:rsidRPr="00C7054C">
              <w:rPr>
                <w:b/>
                <w:sz w:val="20"/>
                <w:szCs w:val="20"/>
              </w:rPr>
              <w:t>TARGET/OUTCOME</w:t>
            </w:r>
          </w:p>
        </w:tc>
        <w:tc>
          <w:tcPr>
            <w:tcW w:w="1559" w:type="dxa"/>
            <w:shd w:val="clear" w:color="auto" w:fill="D9D9D9" w:themeFill="background1" w:themeFillShade="D9"/>
          </w:tcPr>
          <w:p w:rsidR="00F30422" w:rsidRPr="00C7054C" w:rsidRDefault="00F30422" w:rsidP="00F30422">
            <w:pPr>
              <w:rPr>
                <w:b/>
                <w:sz w:val="20"/>
                <w:szCs w:val="20"/>
              </w:rPr>
            </w:pPr>
            <w:r w:rsidRPr="00C7054C">
              <w:rPr>
                <w:b/>
                <w:sz w:val="20"/>
                <w:szCs w:val="20"/>
              </w:rPr>
              <w:t>RESP.</w:t>
            </w:r>
          </w:p>
        </w:tc>
        <w:tc>
          <w:tcPr>
            <w:tcW w:w="1701" w:type="dxa"/>
            <w:shd w:val="clear" w:color="auto" w:fill="D9D9D9" w:themeFill="background1" w:themeFillShade="D9"/>
          </w:tcPr>
          <w:p w:rsidR="00F30422" w:rsidRPr="00C7054C" w:rsidRDefault="00F30422" w:rsidP="00F30422">
            <w:pPr>
              <w:rPr>
                <w:b/>
                <w:sz w:val="20"/>
                <w:szCs w:val="20"/>
              </w:rPr>
            </w:pPr>
            <w:r w:rsidRPr="00C7054C">
              <w:rPr>
                <w:b/>
                <w:sz w:val="20"/>
                <w:szCs w:val="20"/>
              </w:rPr>
              <w:t>PARTNERS</w:t>
            </w:r>
          </w:p>
        </w:tc>
      </w:tr>
      <w:tr w:rsidR="00F30422" w:rsidRPr="00C7054C" w:rsidTr="00C7054C">
        <w:tc>
          <w:tcPr>
            <w:tcW w:w="1101" w:type="dxa"/>
            <w:vMerge/>
            <w:shd w:val="clear" w:color="auto" w:fill="D9D9D9" w:themeFill="background1" w:themeFillShade="D9"/>
          </w:tcPr>
          <w:p w:rsidR="00F30422" w:rsidRPr="00C7054C" w:rsidRDefault="00F30422" w:rsidP="00F30422">
            <w:pPr>
              <w:rPr>
                <w:sz w:val="20"/>
                <w:szCs w:val="20"/>
              </w:rPr>
            </w:pPr>
          </w:p>
        </w:tc>
        <w:tc>
          <w:tcPr>
            <w:tcW w:w="3969" w:type="dxa"/>
            <w:shd w:val="clear" w:color="auto" w:fill="D9D9D9" w:themeFill="background1" w:themeFillShade="D9"/>
          </w:tcPr>
          <w:p w:rsidR="00F30422" w:rsidRPr="00C7054C" w:rsidRDefault="00F30422" w:rsidP="00F30422">
            <w:pPr>
              <w:rPr>
                <w:sz w:val="20"/>
                <w:szCs w:val="20"/>
              </w:rPr>
            </w:pPr>
            <w:r w:rsidRPr="00C7054C">
              <w:rPr>
                <w:sz w:val="20"/>
                <w:szCs w:val="20"/>
              </w:rPr>
              <w:t>Deliver a communication campaign to inform customers about Universal Credit</w:t>
            </w:r>
          </w:p>
        </w:tc>
        <w:tc>
          <w:tcPr>
            <w:tcW w:w="1559" w:type="dxa"/>
            <w:shd w:val="clear" w:color="auto" w:fill="D9D9D9" w:themeFill="background1" w:themeFillShade="D9"/>
          </w:tcPr>
          <w:p w:rsidR="00F30422" w:rsidRPr="00C7054C" w:rsidRDefault="00F30422" w:rsidP="00F30422">
            <w:pPr>
              <w:rPr>
                <w:sz w:val="20"/>
                <w:szCs w:val="20"/>
              </w:rPr>
            </w:pPr>
            <w:r w:rsidRPr="00C7054C">
              <w:rPr>
                <w:sz w:val="20"/>
                <w:szCs w:val="20"/>
              </w:rPr>
              <w:t>Oct 2017 – Sep 2019</w:t>
            </w:r>
          </w:p>
        </w:tc>
        <w:tc>
          <w:tcPr>
            <w:tcW w:w="3969" w:type="dxa"/>
            <w:shd w:val="clear" w:color="auto" w:fill="D9D9D9" w:themeFill="background1" w:themeFillShade="D9"/>
          </w:tcPr>
          <w:p w:rsidR="00F30422" w:rsidRPr="00C7054C" w:rsidRDefault="00F30422" w:rsidP="00DA2C72">
            <w:pPr>
              <w:rPr>
                <w:sz w:val="20"/>
                <w:szCs w:val="20"/>
              </w:rPr>
            </w:pPr>
            <w:r w:rsidRPr="00C7054C">
              <w:rPr>
                <w:sz w:val="20"/>
                <w:szCs w:val="20"/>
              </w:rPr>
              <w:t xml:space="preserve">To minimise delays in the payment of Universal Credit caused by </w:t>
            </w:r>
            <w:r w:rsidR="00DA2C72">
              <w:rPr>
                <w:sz w:val="20"/>
                <w:szCs w:val="20"/>
              </w:rPr>
              <w:t xml:space="preserve">local </w:t>
            </w:r>
            <w:proofErr w:type="spellStart"/>
            <w:proofErr w:type="gramStart"/>
            <w:r w:rsidR="00DA2C72">
              <w:rPr>
                <w:sz w:val="20"/>
                <w:szCs w:val="20"/>
              </w:rPr>
              <w:t>redisents</w:t>
            </w:r>
            <w:proofErr w:type="spellEnd"/>
            <w:r w:rsidR="00DA2C72">
              <w:rPr>
                <w:sz w:val="20"/>
                <w:szCs w:val="20"/>
              </w:rPr>
              <w:t xml:space="preserve"> </w:t>
            </w:r>
            <w:r w:rsidR="00DA2C72" w:rsidRPr="00C7054C">
              <w:rPr>
                <w:sz w:val="20"/>
                <w:szCs w:val="20"/>
              </w:rPr>
              <w:t xml:space="preserve"> </w:t>
            </w:r>
            <w:r w:rsidRPr="00C7054C">
              <w:rPr>
                <w:sz w:val="20"/>
                <w:szCs w:val="20"/>
              </w:rPr>
              <w:t>not</w:t>
            </w:r>
            <w:proofErr w:type="gramEnd"/>
            <w:r w:rsidRPr="00C7054C">
              <w:rPr>
                <w:sz w:val="20"/>
                <w:szCs w:val="20"/>
              </w:rPr>
              <w:t xml:space="preserve"> providing the correct information.</w:t>
            </w:r>
          </w:p>
        </w:tc>
        <w:tc>
          <w:tcPr>
            <w:tcW w:w="1559" w:type="dxa"/>
            <w:shd w:val="clear" w:color="auto" w:fill="D9D9D9" w:themeFill="background1" w:themeFillShade="D9"/>
          </w:tcPr>
          <w:p w:rsidR="00F30422" w:rsidRPr="00C7054C" w:rsidRDefault="00F30422" w:rsidP="00F30422">
            <w:pPr>
              <w:rPr>
                <w:sz w:val="20"/>
                <w:szCs w:val="20"/>
              </w:rPr>
            </w:pPr>
            <w:r w:rsidRPr="00C7054C">
              <w:rPr>
                <w:sz w:val="20"/>
                <w:szCs w:val="20"/>
              </w:rPr>
              <w:t>Revenues &amp; Benefits Programme Manager</w:t>
            </w:r>
          </w:p>
        </w:tc>
        <w:tc>
          <w:tcPr>
            <w:tcW w:w="1701" w:type="dxa"/>
            <w:shd w:val="clear" w:color="auto" w:fill="D9D9D9" w:themeFill="background1" w:themeFillShade="D9"/>
          </w:tcPr>
          <w:p w:rsidR="00F30422" w:rsidRPr="00C7054C" w:rsidRDefault="00F30422" w:rsidP="00F30422">
            <w:pPr>
              <w:rPr>
                <w:sz w:val="20"/>
                <w:szCs w:val="20"/>
              </w:rPr>
            </w:pPr>
            <w:r w:rsidRPr="00C7054C">
              <w:rPr>
                <w:sz w:val="20"/>
                <w:szCs w:val="20"/>
              </w:rPr>
              <w:t>Jobcentre Plus</w:t>
            </w:r>
          </w:p>
        </w:tc>
      </w:tr>
      <w:tr w:rsidR="00F30422" w:rsidRPr="00C7054C" w:rsidTr="00C7054C">
        <w:tc>
          <w:tcPr>
            <w:tcW w:w="1101" w:type="dxa"/>
            <w:vMerge w:val="restart"/>
            <w:textDirection w:val="btLr"/>
          </w:tcPr>
          <w:p w:rsidR="00F30422" w:rsidRPr="00C7054C" w:rsidRDefault="00F30422" w:rsidP="00F30422">
            <w:pPr>
              <w:ind w:left="113" w:right="113"/>
              <w:jc w:val="center"/>
              <w:rPr>
                <w:sz w:val="20"/>
                <w:szCs w:val="20"/>
              </w:rPr>
            </w:pPr>
            <w:r w:rsidRPr="00C7054C">
              <w:rPr>
                <w:sz w:val="20"/>
                <w:szCs w:val="20"/>
              </w:rPr>
              <w:t>INCOME – Long Term</w:t>
            </w:r>
          </w:p>
        </w:tc>
        <w:tc>
          <w:tcPr>
            <w:tcW w:w="3969" w:type="dxa"/>
          </w:tcPr>
          <w:p w:rsidR="00F30422" w:rsidRPr="00C7054C" w:rsidRDefault="00F30422" w:rsidP="00F30422">
            <w:pPr>
              <w:rPr>
                <w:sz w:val="20"/>
                <w:szCs w:val="20"/>
              </w:rPr>
            </w:pPr>
            <w:r w:rsidRPr="00C7054C">
              <w:rPr>
                <w:sz w:val="20"/>
                <w:szCs w:val="20"/>
              </w:rPr>
              <w:t>Deliver and evaluate Home Choice Pilot</w:t>
            </w:r>
          </w:p>
        </w:tc>
        <w:tc>
          <w:tcPr>
            <w:tcW w:w="1559" w:type="dxa"/>
          </w:tcPr>
          <w:p w:rsidR="00F30422" w:rsidRPr="00C7054C" w:rsidRDefault="00F30422" w:rsidP="00F30422">
            <w:pPr>
              <w:rPr>
                <w:sz w:val="20"/>
                <w:szCs w:val="20"/>
              </w:rPr>
            </w:pPr>
            <w:r w:rsidRPr="00C7054C">
              <w:rPr>
                <w:sz w:val="20"/>
                <w:szCs w:val="20"/>
              </w:rPr>
              <w:t>Oct 2017 – Dec 2018</w:t>
            </w:r>
          </w:p>
        </w:tc>
        <w:tc>
          <w:tcPr>
            <w:tcW w:w="3969" w:type="dxa"/>
          </w:tcPr>
          <w:p w:rsidR="00F30422" w:rsidRPr="00C7054C" w:rsidRDefault="00F30422" w:rsidP="00F30422">
            <w:pPr>
              <w:rPr>
                <w:sz w:val="20"/>
                <w:szCs w:val="20"/>
              </w:rPr>
            </w:pPr>
            <w:r w:rsidRPr="00C7054C">
              <w:rPr>
                <w:sz w:val="20"/>
                <w:szCs w:val="20"/>
              </w:rPr>
              <w:t>Understand the benefits of providing support for tenants who are placed in the private rented sector, and determine whether it should be adopted as business as usual.</w:t>
            </w:r>
          </w:p>
        </w:tc>
        <w:tc>
          <w:tcPr>
            <w:tcW w:w="1559" w:type="dxa"/>
          </w:tcPr>
          <w:p w:rsidR="00F30422" w:rsidRPr="00C7054C" w:rsidRDefault="00F30422" w:rsidP="00F30422">
            <w:pPr>
              <w:rPr>
                <w:sz w:val="20"/>
                <w:szCs w:val="20"/>
              </w:rPr>
            </w:pPr>
            <w:r w:rsidRPr="00C7054C">
              <w:rPr>
                <w:sz w:val="20"/>
                <w:szCs w:val="20"/>
              </w:rPr>
              <w:t>Revenues &amp; Benefits Programme Manager</w:t>
            </w:r>
          </w:p>
        </w:tc>
        <w:tc>
          <w:tcPr>
            <w:tcW w:w="1701" w:type="dxa"/>
          </w:tcPr>
          <w:p w:rsidR="00F30422" w:rsidRPr="00C7054C" w:rsidRDefault="00F30422" w:rsidP="00F30422">
            <w:pPr>
              <w:rPr>
                <w:sz w:val="20"/>
                <w:szCs w:val="20"/>
              </w:rPr>
            </w:pPr>
            <w:r w:rsidRPr="00C7054C">
              <w:rPr>
                <w:sz w:val="20"/>
                <w:szCs w:val="20"/>
              </w:rPr>
              <w:t>Housing Options</w:t>
            </w:r>
          </w:p>
          <w:p w:rsidR="00F30422" w:rsidRPr="00C7054C" w:rsidRDefault="00F30422" w:rsidP="00F30422">
            <w:pPr>
              <w:rPr>
                <w:sz w:val="20"/>
                <w:szCs w:val="20"/>
              </w:rPr>
            </w:pPr>
            <w:r w:rsidRPr="00C7054C">
              <w:rPr>
                <w:sz w:val="20"/>
                <w:szCs w:val="20"/>
              </w:rPr>
              <w:t>Incomes</w:t>
            </w:r>
          </w:p>
          <w:p w:rsidR="00F30422" w:rsidRPr="00C7054C" w:rsidRDefault="00F30422" w:rsidP="00F30422">
            <w:pPr>
              <w:rPr>
                <w:sz w:val="20"/>
                <w:szCs w:val="20"/>
              </w:rPr>
            </w:pPr>
            <w:r w:rsidRPr="00C7054C">
              <w:rPr>
                <w:sz w:val="20"/>
                <w:szCs w:val="20"/>
              </w:rPr>
              <w:t>Benefits</w:t>
            </w:r>
          </w:p>
        </w:tc>
      </w:tr>
      <w:tr w:rsidR="00F30422" w:rsidRPr="00C7054C"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Implementation of a local authority lottery to raise money for good causes</w:t>
            </w:r>
          </w:p>
        </w:tc>
        <w:tc>
          <w:tcPr>
            <w:tcW w:w="1559" w:type="dxa"/>
          </w:tcPr>
          <w:p w:rsidR="00F30422" w:rsidRPr="00C7054C" w:rsidRDefault="00F30422" w:rsidP="00F30422">
            <w:pPr>
              <w:rPr>
                <w:sz w:val="20"/>
                <w:szCs w:val="20"/>
              </w:rPr>
            </w:pPr>
            <w:r w:rsidRPr="00C7054C">
              <w:rPr>
                <w:sz w:val="20"/>
                <w:szCs w:val="20"/>
              </w:rPr>
              <w:t>Apr 2018</w:t>
            </w:r>
          </w:p>
        </w:tc>
        <w:tc>
          <w:tcPr>
            <w:tcW w:w="3969" w:type="dxa"/>
          </w:tcPr>
          <w:p w:rsidR="00F30422" w:rsidRPr="00C7054C" w:rsidRDefault="00F30422" w:rsidP="00F30422">
            <w:pPr>
              <w:rPr>
                <w:sz w:val="20"/>
                <w:szCs w:val="20"/>
              </w:rPr>
            </w:pPr>
            <w:r w:rsidRPr="00C7054C">
              <w:rPr>
                <w:sz w:val="20"/>
                <w:szCs w:val="20"/>
              </w:rPr>
              <w:t xml:space="preserve">To give local organisations, who are supporting individuals and communities, the opportunity to develop an additional funding </w:t>
            </w:r>
            <w:proofErr w:type="gramStart"/>
            <w:r w:rsidRPr="00C7054C">
              <w:rPr>
                <w:sz w:val="20"/>
                <w:szCs w:val="20"/>
              </w:rPr>
              <w:t>stream.</w:t>
            </w:r>
            <w:proofErr w:type="gramEnd"/>
          </w:p>
        </w:tc>
        <w:tc>
          <w:tcPr>
            <w:tcW w:w="1559" w:type="dxa"/>
          </w:tcPr>
          <w:p w:rsidR="00F30422" w:rsidRPr="00C7054C" w:rsidRDefault="00F30422" w:rsidP="00F30422">
            <w:pPr>
              <w:rPr>
                <w:sz w:val="20"/>
                <w:szCs w:val="20"/>
              </w:rPr>
            </w:pPr>
            <w:r w:rsidRPr="00C7054C">
              <w:rPr>
                <w:sz w:val="20"/>
                <w:szCs w:val="20"/>
              </w:rPr>
              <w:t>Revenues &amp; Benefits Programme Manager</w:t>
            </w:r>
          </w:p>
        </w:tc>
        <w:tc>
          <w:tcPr>
            <w:tcW w:w="1701" w:type="dxa"/>
          </w:tcPr>
          <w:p w:rsidR="00F30422" w:rsidRPr="00C7054C" w:rsidRDefault="00F30422" w:rsidP="00F30422">
            <w:pPr>
              <w:rPr>
                <w:sz w:val="20"/>
                <w:szCs w:val="20"/>
              </w:rPr>
            </w:pPr>
          </w:p>
        </w:tc>
      </w:tr>
      <w:tr w:rsidR="00F30422" w:rsidRPr="00C7054C"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Sign up to The Rental Exchange following consultation with tenants.</w:t>
            </w:r>
            <w:r w:rsidRPr="00C7054C">
              <w:rPr>
                <w:sz w:val="20"/>
                <w:szCs w:val="20"/>
              </w:rPr>
              <w:tab/>
            </w:r>
          </w:p>
        </w:tc>
        <w:tc>
          <w:tcPr>
            <w:tcW w:w="1559" w:type="dxa"/>
          </w:tcPr>
          <w:p w:rsidR="00F30422" w:rsidRPr="00C7054C" w:rsidRDefault="00F30422" w:rsidP="00F30422">
            <w:pPr>
              <w:rPr>
                <w:sz w:val="20"/>
                <w:szCs w:val="20"/>
              </w:rPr>
            </w:pPr>
            <w:r w:rsidRPr="00C7054C">
              <w:rPr>
                <w:sz w:val="20"/>
                <w:szCs w:val="20"/>
              </w:rPr>
              <w:t>Mar 2020</w:t>
            </w:r>
          </w:p>
        </w:tc>
        <w:tc>
          <w:tcPr>
            <w:tcW w:w="3969" w:type="dxa"/>
          </w:tcPr>
          <w:p w:rsidR="00F30422" w:rsidRDefault="00F30422" w:rsidP="00F30422">
            <w:pPr>
              <w:rPr>
                <w:sz w:val="20"/>
                <w:szCs w:val="20"/>
              </w:rPr>
            </w:pPr>
            <w:r w:rsidRPr="00C7054C">
              <w:rPr>
                <w:sz w:val="20"/>
                <w:szCs w:val="20"/>
              </w:rPr>
              <w:t>Council Tenants are able to establish a credit record on the basis of timely payment of their rent.</w:t>
            </w:r>
          </w:p>
          <w:p w:rsidR="00F30422" w:rsidRPr="00C7054C" w:rsidRDefault="00F30422" w:rsidP="00F30422">
            <w:pPr>
              <w:rPr>
                <w:sz w:val="20"/>
                <w:szCs w:val="20"/>
              </w:rPr>
            </w:pPr>
          </w:p>
        </w:tc>
        <w:tc>
          <w:tcPr>
            <w:tcW w:w="1559" w:type="dxa"/>
          </w:tcPr>
          <w:p w:rsidR="00F30422" w:rsidRPr="00C7054C" w:rsidRDefault="00F30422" w:rsidP="00F30422">
            <w:pPr>
              <w:rPr>
                <w:sz w:val="20"/>
                <w:szCs w:val="20"/>
              </w:rPr>
            </w:pPr>
            <w:r w:rsidRPr="00C7054C">
              <w:rPr>
                <w:sz w:val="20"/>
                <w:szCs w:val="20"/>
              </w:rPr>
              <w:t>Incomes Manager</w:t>
            </w:r>
          </w:p>
        </w:tc>
        <w:tc>
          <w:tcPr>
            <w:tcW w:w="1701" w:type="dxa"/>
          </w:tcPr>
          <w:p w:rsidR="00F30422" w:rsidRPr="00C7054C" w:rsidRDefault="00F30422" w:rsidP="00F30422">
            <w:pPr>
              <w:rPr>
                <w:sz w:val="20"/>
                <w:szCs w:val="20"/>
              </w:rPr>
            </w:pPr>
            <w:r w:rsidRPr="00C7054C">
              <w:rPr>
                <w:sz w:val="20"/>
                <w:szCs w:val="20"/>
              </w:rPr>
              <w:t>Experian</w:t>
            </w:r>
          </w:p>
          <w:p w:rsidR="00F30422" w:rsidRPr="00C7054C" w:rsidRDefault="00F30422" w:rsidP="00F30422">
            <w:pPr>
              <w:rPr>
                <w:sz w:val="20"/>
                <w:szCs w:val="20"/>
              </w:rPr>
            </w:pPr>
            <w:r w:rsidRPr="00C7054C">
              <w:rPr>
                <w:sz w:val="20"/>
                <w:szCs w:val="20"/>
              </w:rPr>
              <w:t>Tenancy Involvement</w:t>
            </w:r>
          </w:p>
        </w:tc>
      </w:tr>
      <w:tr w:rsidR="00F30422" w:rsidRPr="00C7054C"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Support people affected by the Benefit Cap to gain an exemption from the Cap.</w:t>
            </w:r>
          </w:p>
        </w:tc>
        <w:tc>
          <w:tcPr>
            <w:tcW w:w="1559" w:type="dxa"/>
          </w:tcPr>
          <w:p w:rsidR="00F30422" w:rsidRPr="00C7054C" w:rsidRDefault="00F30422" w:rsidP="00F30422">
            <w:pPr>
              <w:rPr>
                <w:sz w:val="20"/>
                <w:szCs w:val="20"/>
              </w:rPr>
            </w:pPr>
            <w:r>
              <w:rPr>
                <w:sz w:val="20"/>
                <w:szCs w:val="20"/>
              </w:rPr>
              <w:t>Oct 2017 – Mar 2020</w:t>
            </w:r>
          </w:p>
        </w:tc>
        <w:tc>
          <w:tcPr>
            <w:tcW w:w="3969" w:type="dxa"/>
          </w:tcPr>
          <w:p w:rsidR="00F30422" w:rsidRPr="00C7054C" w:rsidRDefault="00DA2C72" w:rsidP="00F30422">
            <w:pPr>
              <w:rPr>
                <w:sz w:val="20"/>
                <w:szCs w:val="20"/>
              </w:rPr>
            </w:pPr>
            <w:r>
              <w:rPr>
                <w:sz w:val="20"/>
                <w:szCs w:val="20"/>
              </w:rPr>
              <w:t>Local residents</w:t>
            </w:r>
            <w:r w:rsidRPr="00C7054C">
              <w:rPr>
                <w:sz w:val="20"/>
                <w:szCs w:val="20"/>
              </w:rPr>
              <w:t xml:space="preserve"> </w:t>
            </w:r>
            <w:r w:rsidR="00F30422" w:rsidRPr="00C7054C">
              <w:rPr>
                <w:sz w:val="20"/>
                <w:szCs w:val="20"/>
              </w:rPr>
              <w:t>are supported into work or to obtain a benefit which qualifies as an exemption from the Cap.</w:t>
            </w:r>
          </w:p>
        </w:tc>
        <w:tc>
          <w:tcPr>
            <w:tcW w:w="1559" w:type="dxa"/>
          </w:tcPr>
          <w:p w:rsidR="00F30422" w:rsidRPr="00C7054C" w:rsidRDefault="00F30422" w:rsidP="00F30422">
            <w:pPr>
              <w:rPr>
                <w:sz w:val="20"/>
                <w:szCs w:val="20"/>
              </w:rPr>
            </w:pPr>
            <w:r w:rsidRPr="00C7054C">
              <w:rPr>
                <w:sz w:val="20"/>
                <w:szCs w:val="20"/>
              </w:rPr>
              <w:t>Welfare Reform Manager</w:t>
            </w:r>
          </w:p>
        </w:tc>
        <w:tc>
          <w:tcPr>
            <w:tcW w:w="1701" w:type="dxa"/>
          </w:tcPr>
          <w:p w:rsidR="00F30422" w:rsidRDefault="00F30422" w:rsidP="00F30422">
            <w:pPr>
              <w:rPr>
                <w:sz w:val="20"/>
                <w:szCs w:val="20"/>
              </w:rPr>
            </w:pPr>
            <w:r w:rsidRPr="00C7054C">
              <w:rPr>
                <w:sz w:val="20"/>
                <w:szCs w:val="20"/>
              </w:rPr>
              <w:t>Activate Learning</w:t>
            </w:r>
          </w:p>
          <w:p w:rsidR="00F30422" w:rsidRPr="00C7054C" w:rsidRDefault="00F30422" w:rsidP="00F30422">
            <w:pPr>
              <w:rPr>
                <w:sz w:val="20"/>
                <w:szCs w:val="20"/>
              </w:rPr>
            </w:pPr>
            <w:r>
              <w:rPr>
                <w:sz w:val="20"/>
                <w:szCs w:val="20"/>
              </w:rPr>
              <w:t>Advice sector</w:t>
            </w:r>
          </w:p>
        </w:tc>
      </w:tr>
      <w:tr w:rsidR="00F30422" w:rsidRPr="00C7054C" w:rsidTr="00BC15E1">
        <w:trPr>
          <w:cantSplit/>
          <w:trHeight w:val="1361"/>
        </w:trPr>
        <w:tc>
          <w:tcPr>
            <w:tcW w:w="1101" w:type="dxa"/>
            <w:shd w:val="clear" w:color="auto" w:fill="D9D9D9" w:themeFill="background1" w:themeFillShade="D9"/>
            <w:textDirection w:val="btLr"/>
          </w:tcPr>
          <w:p w:rsidR="00F30422" w:rsidRDefault="00F30422" w:rsidP="00F30422">
            <w:pPr>
              <w:ind w:left="113" w:right="113"/>
              <w:jc w:val="center"/>
              <w:rPr>
                <w:sz w:val="20"/>
                <w:szCs w:val="20"/>
              </w:rPr>
            </w:pPr>
            <w:r w:rsidRPr="00C7054C">
              <w:rPr>
                <w:sz w:val="20"/>
                <w:szCs w:val="20"/>
              </w:rPr>
              <w:t>HOUSING –</w:t>
            </w:r>
          </w:p>
          <w:p w:rsidR="00F30422" w:rsidRPr="00C7054C" w:rsidRDefault="00F30422" w:rsidP="00F30422">
            <w:pPr>
              <w:ind w:left="113" w:right="113"/>
              <w:jc w:val="center"/>
              <w:rPr>
                <w:sz w:val="20"/>
                <w:szCs w:val="20"/>
              </w:rPr>
            </w:pPr>
            <w:r w:rsidRPr="00C7054C">
              <w:rPr>
                <w:sz w:val="20"/>
                <w:szCs w:val="20"/>
              </w:rPr>
              <w:t>Short Term</w:t>
            </w:r>
          </w:p>
        </w:tc>
        <w:tc>
          <w:tcPr>
            <w:tcW w:w="3969" w:type="dxa"/>
            <w:shd w:val="clear" w:color="auto" w:fill="D9D9D9" w:themeFill="background1" w:themeFillShade="D9"/>
          </w:tcPr>
          <w:p w:rsidR="00F30422" w:rsidRPr="00C7054C" w:rsidRDefault="00F30422" w:rsidP="00F30422">
            <w:pPr>
              <w:rPr>
                <w:sz w:val="20"/>
                <w:szCs w:val="20"/>
              </w:rPr>
            </w:pPr>
            <w:r w:rsidRPr="00C7054C">
              <w:rPr>
                <w:sz w:val="20"/>
                <w:szCs w:val="20"/>
              </w:rPr>
              <w:t>Keep Discretionary Housing Payment policy under review</w:t>
            </w:r>
          </w:p>
        </w:tc>
        <w:tc>
          <w:tcPr>
            <w:tcW w:w="1559" w:type="dxa"/>
            <w:shd w:val="clear" w:color="auto" w:fill="D9D9D9" w:themeFill="background1" w:themeFillShade="D9"/>
          </w:tcPr>
          <w:p w:rsidR="00F30422" w:rsidRDefault="00F30422" w:rsidP="00F30422">
            <w:pPr>
              <w:rPr>
                <w:sz w:val="20"/>
                <w:szCs w:val="20"/>
              </w:rPr>
            </w:pPr>
            <w:r>
              <w:rPr>
                <w:sz w:val="20"/>
                <w:szCs w:val="20"/>
              </w:rPr>
              <w:t xml:space="preserve">Apr 2018- </w:t>
            </w:r>
          </w:p>
          <w:p w:rsidR="00F30422" w:rsidRPr="00C7054C" w:rsidRDefault="00F30422" w:rsidP="00F30422">
            <w:pPr>
              <w:rPr>
                <w:sz w:val="20"/>
                <w:szCs w:val="20"/>
              </w:rPr>
            </w:pPr>
            <w:r>
              <w:rPr>
                <w:sz w:val="20"/>
                <w:szCs w:val="20"/>
              </w:rPr>
              <w:t>Mar 2020</w:t>
            </w:r>
          </w:p>
        </w:tc>
        <w:tc>
          <w:tcPr>
            <w:tcW w:w="3969" w:type="dxa"/>
            <w:shd w:val="clear" w:color="auto" w:fill="D9D9D9" w:themeFill="background1" w:themeFillShade="D9"/>
          </w:tcPr>
          <w:p w:rsidR="00F30422" w:rsidRPr="00C7054C" w:rsidRDefault="00F30422" w:rsidP="00F30422">
            <w:pPr>
              <w:rPr>
                <w:sz w:val="20"/>
                <w:szCs w:val="20"/>
              </w:rPr>
            </w:pPr>
            <w:r w:rsidRPr="00C7054C">
              <w:rPr>
                <w:sz w:val="20"/>
                <w:szCs w:val="20"/>
              </w:rPr>
              <w:t>Ensure DHP budget will cover expected demand on an annual basis, and maximise expenditure of DHP grant</w:t>
            </w:r>
          </w:p>
        </w:tc>
        <w:tc>
          <w:tcPr>
            <w:tcW w:w="1559" w:type="dxa"/>
            <w:shd w:val="clear" w:color="auto" w:fill="D9D9D9" w:themeFill="background1" w:themeFillShade="D9"/>
          </w:tcPr>
          <w:p w:rsidR="00F30422" w:rsidRDefault="00F30422" w:rsidP="00F30422">
            <w:pPr>
              <w:rPr>
                <w:sz w:val="20"/>
                <w:szCs w:val="20"/>
              </w:rPr>
            </w:pPr>
            <w:r w:rsidRPr="00C7054C">
              <w:rPr>
                <w:sz w:val="20"/>
                <w:szCs w:val="20"/>
              </w:rPr>
              <w:t>Welfare Reform Manager</w:t>
            </w:r>
          </w:p>
          <w:p w:rsidR="00F30422" w:rsidRDefault="00F30422" w:rsidP="00F30422">
            <w:pPr>
              <w:rPr>
                <w:sz w:val="20"/>
                <w:szCs w:val="20"/>
              </w:rPr>
            </w:pPr>
          </w:p>
          <w:p w:rsidR="00F30422" w:rsidRDefault="00F30422" w:rsidP="00F30422">
            <w:pPr>
              <w:rPr>
                <w:sz w:val="20"/>
                <w:szCs w:val="20"/>
              </w:rPr>
            </w:pPr>
          </w:p>
          <w:p w:rsidR="00F30422" w:rsidRPr="00C7054C" w:rsidRDefault="00F30422" w:rsidP="00F30422">
            <w:pPr>
              <w:rPr>
                <w:sz w:val="20"/>
                <w:szCs w:val="20"/>
              </w:rPr>
            </w:pPr>
          </w:p>
        </w:tc>
        <w:tc>
          <w:tcPr>
            <w:tcW w:w="1701" w:type="dxa"/>
            <w:shd w:val="clear" w:color="auto" w:fill="D9D9D9" w:themeFill="background1" w:themeFillShade="D9"/>
          </w:tcPr>
          <w:p w:rsidR="00F30422" w:rsidRPr="00C7054C" w:rsidRDefault="00F30422" w:rsidP="00F30422">
            <w:pPr>
              <w:rPr>
                <w:sz w:val="20"/>
                <w:szCs w:val="20"/>
              </w:rPr>
            </w:pPr>
          </w:p>
        </w:tc>
      </w:tr>
      <w:tr w:rsidR="00F30422" w:rsidRPr="00C7054C" w:rsidTr="00BC15E1">
        <w:tc>
          <w:tcPr>
            <w:tcW w:w="1101" w:type="dxa"/>
            <w:vMerge w:val="restart"/>
            <w:textDirection w:val="btLr"/>
          </w:tcPr>
          <w:p w:rsidR="00F30422" w:rsidRPr="00C7054C" w:rsidRDefault="00F30422" w:rsidP="00F30422">
            <w:pPr>
              <w:ind w:left="113" w:right="113"/>
              <w:jc w:val="center"/>
              <w:rPr>
                <w:sz w:val="20"/>
                <w:szCs w:val="20"/>
              </w:rPr>
            </w:pPr>
            <w:r w:rsidRPr="00C7054C">
              <w:rPr>
                <w:sz w:val="20"/>
                <w:szCs w:val="20"/>
              </w:rPr>
              <w:t>HOUSING – Long Term</w:t>
            </w:r>
          </w:p>
        </w:tc>
        <w:tc>
          <w:tcPr>
            <w:tcW w:w="3969" w:type="dxa"/>
          </w:tcPr>
          <w:p w:rsidR="00F30422" w:rsidRPr="00C7054C" w:rsidRDefault="00F30422" w:rsidP="00F30422">
            <w:pPr>
              <w:rPr>
                <w:sz w:val="20"/>
                <w:szCs w:val="20"/>
              </w:rPr>
            </w:pPr>
            <w:r w:rsidRPr="00C7054C">
              <w:rPr>
                <w:sz w:val="20"/>
                <w:szCs w:val="20"/>
              </w:rPr>
              <w:t xml:space="preserve">Use the low income/high cost model developed by the EDIS project to target take-up work for households likely to be eligible for ECO funding. </w:t>
            </w:r>
          </w:p>
        </w:tc>
        <w:tc>
          <w:tcPr>
            <w:tcW w:w="1559" w:type="dxa"/>
          </w:tcPr>
          <w:p w:rsidR="00F30422" w:rsidRPr="00C7054C" w:rsidRDefault="00F30422" w:rsidP="00F30422">
            <w:pPr>
              <w:rPr>
                <w:sz w:val="20"/>
                <w:szCs w:val="20"/>
              </w:rPr>
            </w:pPr>
            <w:r w:rsidRPr="00C7054C">
              <w:rPr>
                <w:sz w:val="20"/>
                <w:szCs w:val="20"/>
              </w:rPr>
              <w:t>Oct 2017 – Dec 2017</w:t>
            </w:r>
          </w:p>
        </w:tc>
        <w:tc>
          <w:tcPr>
            <w:tcW w:w="3969" w:type="dxa"/>
          </w:tcPr>
          <w:p w:rsidR="00F30422" w:rsidRPr="00C7054C" w:rsidRDefault="00F30422" w:rsidP="00DA2C72">
            <w:pPr>
              <w:rPr>
                <w:sz w:val="20"/>
                <w:szCs w:val="20"/>
              </w:rPr>
            </w:pPr>
            <w:r w:rsidRPr="00C7054C">
              <w:rPr>
                <w:sz w:val="20"/>
                <w:szCs w:val="20"/>
              </w:rPr>
              <w:t xml:space="preserve">Maximise the number of </w:t>
            </w:r>
            <w:r w:rsidR="00DA2C72">
              <w:rPr>
                <w:sz w:val="20"/>
                <w:szCs w:val="20"/>
              </w:rPr>
              <w:t>local resident</w:t>
            </w:r>
            <w:r w:rsidR="00DA2C72" w:rsidRPr="00C7054C">
              <w:rPr>
                <w:sz w:val="20"/>
                <w:szCs w:val="20"/>
              </w:rPr>
              <w:t xml:space="preserve">s </w:t>
            </w:r>
            <w:r w:rsidRPr="00C7054C">
              <w:rPr>
                <w:sz w:val="20"/>
                <w:szCs w:val="20"/>
              </w:rPr>
              <w:t>in receipt of ECO funding</w:t>
            </w:r>
          </w:p>
        </w:tc>
        <w:tc>
          <w:tcPr>
            <w:tcW w:w="1559" w:type="dxa"/>
          </w:tcPr>
          <w:p w:rsidR="00F30422" w:rsidRPr="00C7054C" w:rsidRDefault="00F30422" w:rsidP="00F30422">
            <w:pPr>
              <w:rPr>
                <w:sz w:val="20"/>
                <w:szCs w:val="20"/>
              </w:rPr>
            </w:pPr>
            <w:r w:rsidRPr="00C7054C">
              <w:rPr>
                <w:sz w:val="20"/>
                <w:szCs w:val="20"/>
              </w:rPr>
              <w:t>Energy Efficiency Projects Officer</w:t>
            </w:r>
          </w:p>
        </w:tc>
        <w:tc>
          <w:tcPr>
            <w:tcW w:w="1701" w:type="dxa"/>
          </w:tcPr>
          <w:p w:rsidR="00F30422" w:rsidRPr="00C7054C" w:rsidRDefault="00F30422" w:rsidP="00F30422">
            <w:pPr>
              <w:rPr>
                <w:sz w:val="20"/>
                <w:szCs w:val="20"/>
              </w:rPr>
            </w:pPr>
            <w:r w:rsidRPr="00C7054C">
              <w:rPr>
                <w:sz w:val="20"/>
                <w:szCs w:val="20"/>
              </w:rPr>
              <w:t>Ricardo</w:t>
            </w:r>
          </w:p>
        </w:tc>
      </w:tr>
      <w:tr w:rsidR="00F30422" w:rsidRPr="00C7054C"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Extend the Local Energy Advice Project for a further nine months (LEAP)</w:t>
            </w:r>
          </w:p>
        </w:tc>
        <w:tc>
          <w:tcPr>
            <w:tcW w:w="1559" w:type="dxa"/>
          </w:tcPr>
          <w:p w:rsidR="00F30422" w:rsidRPr="00C7054C" w:rsidRDefault="00F30422" w:rsidP="00F30422">
            <w:pPr>
              <w:rPr>
                <w:sz w:val="20"/>
                <w:szCs w:val="20"/>
              </w:rPr>
            </w:pPr>
            <w:r w:rsidRPr="00C7054C">
              <w:rPr>
                <w:sz w:val="20"/>
                <w:szCs w:val="20"/>
              </w:rPr>
              <w:t>Oct 2017 – Jun 2018</w:t>
            </w:r>
          </w:p>
        </w:tc>
        <w:tc>
          <w:tcPr>
            <w:tcW w:w="3969" w:type="dxa"/>
          </w:tcPr>
          <w:p w:rsidR="00F30422" w:rsidRPr="00C7054C" w:rsidRDefault="00F30422" w:rsidP="00F30422">
            <w:pPr>
              <w:rPr>
                <w:sz w:val="20"/>
                <w:szCs w:val="20"/>
              </w:rPr>
            </w:pPr>
            <w:r w:rsidRPr="00C7054C">
              <w:rPr>
                <w:sz w:val="20"/>
                <w:szCs w:val="20"/>
              </w:rPr>
              <w:t>Provide advice on energy use and bills to 400 residents</w:t>
            </w:r>
          </w:p>
        </w:tc>
        <w:tc>
          <w:tcPr>
            <w:tcW w:w="1559" w:type="dxa"/>
          </w:tcPr>
          <w:p w:rsidR="00F30422" w:rsidRPr="00C7054C" w:rsidRDefault="00F30422" w:rsidP="00F30422">
            <w:pPr>
              <w:rPr>
                <w:sz w:val="20"/>
                <w:szCs w:val="20"/>
              </w:rPr>
            </w:pPr>
            <w:r w:rsidRPr="00C7054C">
              <w:rPr>
                <w:sz w:val="20"/>
                <w:szCs w:val="20"/>
              </w:rPr>
              <w:t>Energy Efficiency Projects Officer</w:t>
            </w:r>
          </w:p>
        </w:tc>
        <w:tc>
          <w:tcPr>
            <w:tcW w:w="1701" w:type="dxa"/>
          </w:tcPr>
          <w:p w:rsidR="00F30422" w:rsidRPr="00C7054C" w:rsidRDefault="00F30422" w:rsidP="00F30422">
            <w:pPr>
              <w:rPr>
                <w:sz w:val="20"/>
                <w:szCs w:val="20"/>
              </w:rPr>
            </w:pPr>
            <w:proofErr w:type="spellStart"/>
            <w:r w:rsidRPr="00C7054C">
              <w:rPr>
                <w:sz w:val="20"/>
                <w:szCs w:val="20"/>
              </w:rPr>
              <w:t>AgilityEco</w:t>
            </w:r>
            <w:proofErr w:type="spellEnd"/>
          </w:p>
        </w:tc>
      </w:tr>
      <w:tr w:rsidR="00F30422" w:rsidRPr="00C7054C"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Take enforcement action against landlords with Energy Performance Certificates rated F &amp; G</w:t>
            </w:r>
          </w:p>
        </w:tc>
        <w:tc>
          <w:tcPr>
            <w:tcW w:w="1559" w:type="dxa"/>
          </w:tcPr>
          <w:p w:rsidR="00F30422" w:rsidRPr="00C7054C" w:rsidRDefault="00F30422" w:rsidP="00F30422">
            <w:pPr>
              <w:rPr>
                <w:sz w:val="20"/>
                <w:szCs w:val="20"/>
              </w:rPr>
            </w:pPr>
            <w:r w:rsidRPr="00C7054C">
              <w:rPr>
                <w:sz w:val="20"/>
                <w:szCs w:val="20"/>
              </w:rPr>
              <w:t>Oct 2017 – Mar 2020</w:t>
            </w:r>
          </w:p>
        </w:tc>
        <w:tc>
          <w:tcPr>
            <w:tcW w:w="3969" w:type="dxa"/>
          </w:tcPr>
          <w:p w:rsidR="00F30422" w:rsidRPr="00C7054C" w:rsidRDefault="00F30422" w:rsidP="00F30422">
            <w:pPr>
              <w:rPr>
                <w:sz w:val="20"/>
                <w:szCs w:val="20"/>
              </w:rPr>
            </w:pPr>
            <w:r w:rsidRPr="00C7054C">
              <w:rPr>
                <w:sz w:val="20"/>
                <w:szCs w:val="20"/>
              </w:rPr>
              <w:t>Ensure all homes in Oxford have a minimum EPC rating of E.</w:t>
            </w:r>
          </w:p>
        </w:tc>
        <w:tc>
          <w:tcPr>
            <w:tcW w:w="1559" w:type="dxa"/>
          </w:tcPr>
          <w:p w:rsidR="00F30422" w:rsidRPr="00C7054C" w:rsidRDefault="00F30422" w:rsidP="00F30422">
            <w:pPr>
              <w:rPr>
                <w:sz w:val="20"/>
                <w:szCs w:val="20"/>
              </w:rPr>
            </w:pPr>
            <w:r w:rsidRPr="00C7054C">
              <w:rPr>
                <w:sz w:val="20"/>
                <w:szCs w:val="20"/>
              </w:rPr>
              <w:t>Environmental Health Service Manager</w:t>
            </w:r>
          </w:p>
        </w:tc>
        <w:tc>
          <w:tcPr>
            <w:tcW w:w="1701" w:type="dxa"/>
          </w:tcPr>
          <w:p w:rsidR="00F30422" w:rsidRPr="00C7054C" w:rsidRDefault="00F30422" w:rsidP="00F30422">
            <w:pPr>
              <w:rPr>
                <w:sz w:val="20"/>
                <w:szCs w:val="20"/>
              </w:rPr>
            </w:pPr>
          </w:p>
        </w:tc>
      </w:tr>
      <w:tr w:rsidR="00F30422" w:rsidRPr="00C7054C" w:rsidTr="00041D43">
        <w:tc>
          <w:tcPr>
            <w:tcW w:w="1101" w:type="dxa"/>
            <w:vMerge w:val="restart"/>
            <w:textDirection w:val="btLr"/>
          </w:tcPr>
          <w:p w:rsidR="00F30422" w:rsidRDefault="00F30422" w:rsidP="00F30422">
            <w:pPr>
              <w:ind w:left="113" w:right="113"/>
              <w:jc w:val="center"/>
              <w:rPr>
                <w:sz w:val="20"/>
                <w:szCs w:val="20"/>
              </w:rPr>
            </w:pPr>
            <w:r>
              <w:rPr>
                <w:sz w:val="20"/>
                <w:szCs w:val="20"/>
              </w:rPr>
              <w:lastRenderedPageBreak/>
              <w:t>Housing – Long Term</w:t>
            </w:r>
          </w:p>
        </w:tc>
        <w:tc>
          <w:tcPr>
            <w:tcW w:w="3969" w:type="dxa"/>
          </w:tcPr>
          <w:p w:rsidR="00F30422" w:rsidRPr="00C7054C" w:rsidRDefault="00F30422" w:rsidP="00F30422">
            <w:pPr>
              <w:rPr>
                <w:b/>
                <w:sz w:val="20"/>
                <w:szCs w:val="20"/>
              </w:rPr>
            </w:pPr>
            <w:r w:rsidRPr="00C7054C">
              <w:rPr>
                <w:b/>
                <w:sz w:val="20"/>
                <w:szCs w:val="20"/>
              </w:rPr>
              <w:t>TASK</w:t>
            </w:r>
          </w:p>
        </w:tc>
        <w:tc>
          <w:tcPr>
            <w:tcW w:w="1559" w:type="dxa"/>
          </w:tcPr>
          <w:p w:rsidR="00F30422" w:rsidRPr="00C7054C" w:rsidRDefault="00F30422" w:rsidP="00F30422">
            <w:pPr>
              <w:rPr>
                <w:b/>
                <w:sz w:val="20"/>
                <w:szCs w:val="20"/>
              </w:rPr>
            </w:pPr>
            <w:r w:rsidRPr="00C7054C">
              <w:rPr>
                <w:b/>
                <w:sz w:val="20"/>
                <w:szCs w:val="20"/>
              </w:rPr>
              <w:t>TIMESCALE</w:t>
            </w:r>
          </w:p>
        </w:tc>
        <w:tc>
          <w:tcPr>
            <w:tcW w:w="3969" w:type="dxa"/>
          </w:tcPr>
          <w:p w:rsidR="00F30422" w:rsidRPr="00C7054C" w:rsidRDefault="00F30422" w:rsidP="00F30422">
            <w:pPr>
              <w:rPr>
                <w:b/>
                <w:sz w:val="20"/>
                <w:szCs w:val="20"/>
              </w:rPr>
            </w:pPr>
            <w:r w:rsidRPr="00C7054C">
              <w:rPr>
                <w:b/>
                <w:sz w:val="20"/>
                <w:szCs w:val="20"/>
              </w:rPr>
              <w:t>TARGET/OUTCOME</w:t>
            </w:r>
          </w:p>
        </w:tc>
        <w:tc>
          <w:tcPr>
            <w:tcW w:w="1559" w:type="dxa"/>
          </w:tcPr>
          <w:p w:rsidR="00F30422" w:rsidRPr="00C7054C" w:rsidRDefault="00F30422" w:rsidP="00F30422">
            <w:pPr>
              <w:rPr>
                <w:b/>
                <w:sz w:val="20"/>
                <w:szCs w:val="20"/>
              </w:rPr>
            </w:pPr>
            <w:r w:rsidRPr="00C7054C">
              <w:rPr>
                <w:b/>
                <w:sz w:val="20"/>
                <w:szCs w:val="20"/>
              </w:rPr>
              <w:t>RESP.</w:t>
            </w:r>
          </w:p>
        </w:tc>
        <w:tc>
          <w:tcPr>
            <w:tcW w:w="1701" w:type="dxa"/>
          </w:tcPr>
          <w:p w:rsidR="00F30422" w:rsidRPr="00C7054C" w:rsidRDefault="00F30422" w:rsidP="00F30422">
            <w:pPr>
              <w:rPr>
                <w:b/>
                <w:sz w:val="20"/>
                <w:szCs w:val="20"/>
              </w:rPr>
            </w:pPr>
            <w:r w:rsidRPr="00C7054C">
              <w:rPr>
                <w:b/>
                <w:sz w:val="20"/>
                <w:szCs w:val="20"/>
              </w:rPr>
              <w:t>PARTNERS</w:t>
            </w:r>
          </w:p>
        </w:tc>
      </w:tr>
      <w:tr w:rsidR="00F30422" w:rsidRPr="00C7054C" w:rsidTr="0005251D">
        <w:tc>
          <w:tcPr>
            <w:tcW w:w="1101" w:type="dxa"/>
            <w:vMerge/>
          </w:tcPr>
          <w:p w:rsidR="00F30422" w:rsidRPr="00C7054C" w:rsidRDefault="00F30422" w:rsidP="00F30422">
            <w:pPr>
              <w:ind w:left="113" w:right="113"/>
              <w:jc w:val="center"/>
              <w:rPr>
                <w:sz w:val="20"/>
                <w:szCs w:val="20"/>
              </w:rPr>
            </w:pPr>
          </w:p>
        </w:tc>
        <w:tc>
          <w:tcPr>
            <w:tcW w:w="3969" w:type="dxa"/>
          </w:tcPr>
          <w:p w:rsidR="00F30422" w:rsidRPr="00FD119E" w:rsidRDefault="00F30422" w:rsidP="00F30422">
            <w:pPr>
              <w:rPr>
                <w:sz w:val="20"/>
                <w:szCs w:val="20"/>
              </w:rPr>
            </w:pPr>
            <w:r w:rsidRPr="00FD119E">
              <w:rPr>
                <w:sz w:val="20"/>
                <w:szCs w:val="20"/>
              </w:rPr>
              <w:t>Continue to work with partners to investigate potential projects that will reduce fuel poverty in our housing stock (EG Energy Local bid for solar PV and cheaper electricity)</w:t>
            </w:r>
          </w:p>
        </w:tc>
        <w:tc>
          <w:tcPr>
            <w:tcW w:w="1559" w:type="dxa"/>
          </w:tcPr>
          <w:p w:rsidR="00F30422" w:rsidRPr="00FD119E" w:rsidRDefault="00F30422" w:rsidP="00F30422">
            <w:pPr>
              <w:rPr>
                <w:sz w:val="20"/>
                <w:szCs w:val="20"/>
              </w:rPr>
            </w:pPr>
            <w:r w:rsidRPr="00FD119E">
              <w:rPr>
                <w:sz w:val="20"/>
                <w:szCs w:val="20"/>
              </w:rPr>
              <w:t>Oct 2017 – Mar 2020</w:t>
            </w:r>
          </w:p>
        </w:tc>
        <w:tc>
          <w:tcPr>
            <w:tcW w:w="3969" w:type="dxa"/>
          </w:tcPr>
          <w:p w:rsidR="00F30422" w:rsidRPr="00FD119E" w:rsidRDefault="00F30422" w:rsidP="00F30422">
            <w:pPr>
              <w:rPr>
                <w:sz w:val="20"/>
                <w:szCs w:val="20"/>
              </w:rPr>
            </w:pPr>
            <w:r w:rsidRPr="00FD119E">
              <w:rPr>
                <w:sz w:val="20"/>
                <w:szCs w:val="20"/>
              </w:rPr>
              <w:t>Integration of technologies and energy efficiency measures to support tenants’ with energy bills.</w:t>
            </w:r>
          </w:p>
        </w:tc>
        <w:tc>
          <w:tcPr>
            <w:tcW w:w="1559" w:type="dxa"/>
          </w:tcPr>
          <w:p w:rsidR="00F30422" w:rsidRPr="00FD119E" w:rsidRDefault="00F30422" w:rsidP="00F30422">
            <w:pPr>
              <w:rPr>
                <w:sz w:val="20"/>
                <w:szCs w:val="20"/>
              </w:rPr>
            </w:pPr>
            <w:r w:rsidRPr="00FD119E">
              <w:rPr>
                <w:sz w:val="20"/>
                <w:szCs w:val="20"/>
              </w:rPr>
              <w:t>Energy Efficiency Projects Officer</w:t>
            </w:r>
          </w:p>
        </w:tc>
        <w:tc>
          <w:tcPr>
            <w:tcW w:w="1701" w:type="dxa"/>
          </w:tcPr>
          <w:p w:rsidR="00F30422" w:rsidRPr="00FD119E" w:rsidRDefault="00F30422" w:rsidP="00F30422">
            <w:pPr>
              <w:rPr>
                <w:sz w:val="20"/>
                <w:szCs w:val="20"/>
              </w:rPr>
            </w:pPr>
            <w:r w:rsidRPr="00FD119E">
              <w:rPr>
                <w:sz w:val="20"/>
                <w:szCs w:val="20"/>
              </w:rPr>
              <w:t>Bioregional</w:t>
            </w:r>
          </w:p>
          <w:p w:rsidR="00F30422" w:rsidRPr="00FD119E" w:rsidRDefault="00F30422" w:rsidP="00F30422">
            <w:pPr>
              <w:rPr>
                <w:sz w:val="20"/>
                <w:szCs w:val="20"/>
              </w:rPr>
            </w:pPr>
            <w:r w:rsidRPr="00FD119E">
              <w:rPr>
                <w:sz w:val="20"/>
                <w:szCs w:val="20"/>
              </w:rPr>
              <w:t>Universities</w:t>
            </w:r>
            <w:r>
              <w:rPr>
                <w:sz w:val="20"/>
                <w:szCs w:val="20"/>
              </w:rPr>
              <w:t>,</w:t>
            </w:r>
          </w:p>
          <w:p w:rsidR="00F30422" w:rsidRPr="00FD119E" w:rsidRDefault="00F30422" w:rsidP="00F30422">
            <w:pPr>
              <w:rPr>
                <w:sz w:val="20"/>
                <w:szCs w:val="20"/>
              </w:rPr>
            </w:pPr>
            <w:r w:rsidRPr="00FD119E">
              <w:rPr>
                <w:sz w:val="20"/>
                <w:szCs w:val="20"/>
              </w:rPr>
              <w:t>Energy Local</w:t>
            </w:r>
            <w:r>
              <w:rPr>
                <w:sz w:val="20"/>
                <w:szCs w:val="20"/>
              </w:rPr>
              <w:t>,</w:t>
            </w:r>
          </w:p>
          <w:p w:rsidR="00F30422" w:rsidRPr="00FD119E" w:rsidRDefault="00F30422" w:rsidP="00F30422">
            <w:pPr>
              <w:rPr>
                <w:sz w:val="20"/>
                <w:szCs w:val="20"/>
              </w:rPr>
            </w:pPr>
            <w:proofErr w:type="spellStart"/>
            <w:r w:rsidRPr="00FD119E">
              <w:rPr>
                <w:sz w:val="20"/>
                <w:szCs w:val="20"/>
              </w:rPr>
              <w:t>Moixa</w:t>
            </w:r>
            <w:proofErr w:type="spellEnd"/>
          </w:p>
        </w:tc>
      </w:tr>
      <w:tr w:rsidR="00F30422" w:rsidRPr="00C7054C" w:rsidTr="0005251D">
        <w:tc>
          <w:tcPr>
            <w:tcW w:w="1101" w:type="dxa"/>
            <w:vMerge/>
          </w:tcPr>
          <w:p w:rsidR="00F30422" w:rsidRPr="00C7054C" w:rsidRDefault="00F30422" w:rsidP="00F30422">
            <w:pPr>
              <w:ind w:left="113" w:right="113"/>
              <w:jc w:val="center"/>
              <w:rPr>
                <w:sz w:val="20"/>
                <w:szCs w:val="20"/>
              </w:rPr>
            </w:pPr>
          </w:p>
        </w:tc>
        <w:tc>
          <w:tcPr>
            <w:tcW w:w="3969" w:type="dxa"/>
          </w:tcPr>
          <w:p w:rsidR="00F30422" w:rsidRPr="00C7054C" w:rsidRDefault="00F30422" w:rsidP="00F30422">
            <w:pPr>
              <w:rPr>
                <w:sz w:val="20"/>
                <w:szCs w:val="20"/>
              </w:rPr>
            </w:pPr>
            <w:r w:rsidRPr="00C7054C">
              <w:rPr>
                <w:sz w:val="20"/>
                <w:szCs w:val="20"/>
              </w:rPr>
              <w:t>Intervene to provide support to people identified as being at risk of homelessness</w:t>
            </w:r>
          </w:p>
        </w:tc>
        <w:tc>
          <w:tcPr>
            <w:tcW w:w="1559" w:type="dxa"/>
          </w:tcPr>
          <w:p w:rsidR="00F30422" w:rsidRPr="00C7054C" w:rsidRDefault="00F30422" w:rsidP="00F30422">
            <w:pPr>
              <w:rPr>
                <w:sz w:val="20"/>
                <w:szCs w:val="20"/>
              </w:rPr>
            </w:pPr>
            <w:r w:rsidRPr="00C7054C">
              <w:rPr>
                <w:sz w:val="20"/>
                <w:szCs w:val="20"/>
              </w:rPr>
              <w:t>Oct 2017 – Sep 2019</w:t>
            </w:r>
          </w:p>
        </w:tc>
        <w:tc>
          <w:tcPr>
            <w:tcW w:w="3969" w:type="dxa"/>
          </w:tcPr>
          <w:p w:rsidR="00F30422" w:rsidRPr="00C7054C" w:rsidRDefault="00F30422" w:rsidP="00F30422">
            <w:pPr>
              <w:rPr>
                <w:sz w:val="20"/>
                <w:szCs w:val="20"/>
              </w:rPr>
            </w:pPr>
            <w:r w:rsidRPr="00C7054C">
              <w:rPr>
                <w:sz w:val="20"/>
                <w:szCs w:val="20"/>
              </w:rPr>
              <w:t>Increase resilience of people identified as being at risk, and to prevent homelessness</w:t>
            </w:r>
          </w:p>
        </w:tc>
        <w:tc>
          <w:tcPr>
            <w:tcW w:w="1559" w:type="dxa"/>
          </w:tcPr>
          <w:p w:rsidR="00F30422" w:rsidRPr="00C7054C" w:rsidRDefault="00F30422" w:rsidP="00F30422">
            <w:pPr>
              <w:rPr>
                <w:sz w:val="20"/>
                <w:szCs w:val="20"/>
              </w:rPr>
            </w:pPr>
            <w:r w:rsidRPr="00C7054C">
              <w:rPr>
                <w:sz w:val="20"/>
                <w:szCs w:val="20"/>
              </w:rPr>
              <w:t>Trailblazer Project Manager</w:t>
            </w:r>
          </w:p>
        </w:tc>
        <w:tc>
          <w:tcPr>
            <w:tcW w:w="1701" w:type="dxa"/>
          </w:tcPr>
          <w:p w:rsidR="00F30422" w:rsidRPr="00C7054C" w:rsidRDefault="00F30422" w:rsidP="00F30422">
            <w:pPr>
              <w:rPr>
                <w:sz w:val="20"/>
                <w:szCs w:val="20"/>
              </w:rPr>
            </w:pPr>
            <w:r w:rsidRPr="00C7054C">
              <w:rPr>
                <w:sz w:val="20"/>
                <w:szCs w:val="20"/>
              </w:rPr>
              <w:t>Homelessness Trailblazer project partners</w:t>
            </w:r>
          </w:p>
        </w:tc>
      </w:tr>
      <w:tr w:rsidR="00F30422" w:rsidRPr="00C7054C" w:rsidTr="0005251D">
        <w:tc>
          <w:tcPr>
            <w:tcW w:w="1101" w:type="dxa"/>
            <w:vMerge/>
          </w:tcPr>
          <w:p w:rsidR="00F30422" w:rsidRPr="00C7054C" w:rsidRDefault="00F30422" w:rsidP="00F30422">
            <w:pPr>
              <w:ind w:left="113" w:right="113"/>
              <w:jc w:val="center"/>
              <w:rPr>
                <w:sz w:val="20"/>
                <w:szCs w:val="20"/>
              </w:rPr>
            </w:pPr>
          </w:p>
        </w:tc>
        <w:tc>
          <w:tcPr>
            <w:tcW w:w="3969" w:type="dxa"/>
          </w:tcPr>
          <w:p w:rsidR="00F30422" w:rsidRPr="00FD119E" w:rsidRDefault="00F30422" w:rsidP="00F30422">
            <w:pPr>
              <w:rPr>
                <w:sz w:val="20"/>
                <w:szCs w:val="20"/>
              </w:rPr>
            </w:pPr>
            <w:r w:rsidRPr="00FD119E">
              <w:rPr>
                <w:sz w:val="20"/>
                <w:szCs w:val="20"/>
              </w:rPr>
              <w:t>Continuation of the Energy Advice service within Council’s social housing for this financial year.</w:t>
            </w:r>
          </w:p>
          <w:p w:rsidR="00F30422" w:rsidRPr="00FD119E" w:rsidRDefault="00F30422" w:rsidP="00F30422">
            <w:pPr>
              <w:rPr>
                <w:sz w:val="20"/>
                <w:szCs w:val="20"/>
              </w:rPr>
            </w:pPr>
            <w:r w:rsidRPr="00FD119E">
              <w:rPr>
                <w:sz w:val="20"/>
                <w:szCs w:val="20"/>
              </w:rPr>
              <w:t>A longer term Energy Advice service will be investigated according to feedback and learning.</w:t>
            </w:r>
          </w:p>
        </w:tc>
        <w:tc>
          <w:tcPr>
            <w:tcW w:w="1559" w:type="dxa"/>
          </w:tcPr>
          <w:p w:rsidR="00F30422" w:rsidRPr="00FD119E" w:rsidRDefault="00F30422" w:rsidP="00F30422">
            <w:pPr>
              <w:rPr>
                <w:sz w:val="20"/>
                <w:szCs w:val="20"/>
              </w:rPr>
            </w:pPr>
            <w:r w:rsidRPr="00FD119E">
              <w:rPr>
                <w:sz w:val="20"/>
                <w:szCs w:val="20"/>
              </w:rPr>
              <w:t>Oct 2017 – Mar 2018</w:t>
            </w:r>
          </w:p>
          <w:p w:rsidR="00F30422" w:rsidRPr="00FD119E" w:rsidRDefault="00F30422" w:rsidP="00F30422">
            <w:pPr>
              <w:rPr>
                <w:sz w:val="20"/>
                <w:szCs w:val="20"/>
              </w:rPr>
            </w:pPr>
          </w:p>
          <w:p w:rsidR="00F30422" w:rsidRPr="00FD119E" w:rsidRDefault="00F30422" w:rsidP="00F30422">
            <w:pPr>
              <w:rPr>
                <w:sz w:val="20"/>
                <w:szCs w:val="20"/>
              </w:rPr>
            </w:pPr>
            <w:r w:rsidRPr="00FD119E">
              <w:rPr>
                <w:sz w:val="20"/>
                <w:szCs w:val="20"/>
              </w:rPr>
              <w:t>April 2018 - TBC</w:t>
            </w:r>
          </w:p>
        </w:tc>
        <w:tc>
          <w:tcPr>
            <w:tcW w:w="3969" w:type="dxa"/>
          </w:tcPr>
          <w:p w:rsidR="00F30422" w:rsidRPr="00FD119E" w:rsidRDefault="00F30422" w:rsidP="00F30422">
            <w:pPr>
              <w:rPr>
                <w:sz w:val="20"/>
                <w:szCs w:val="20"/>
              </w:rPr>
            </w:pPr>
            <w:r w:rsidRPr="00FD119E">
              <w:rPr>
                <w:sz w:val="20"/>
                <w:szCs w:val="20"/>
              </w:rPr>
              <w:t>Ongoing support and advice for tenants leading to savings on energy bills</w:t>
            </w:r>
          </w:p>
        </w:tc>
        <w:tc>
          <w:tcPr>
            <w:tcW w:w="1559" w:type="dxa"/>
          </w:tcPr>
          <w:p w:rsidR="00F30422" w:rsidRPr="00FD119E" w:rsidRDefault="00F30422" w:rsidP="00F30422">
            <w:pPr>
              <w:rPr>
                <w:sz w:val="20"/>
                <w:szCs w:val="20"/>
              </w:rPr>
            </w:pPr>
            <w:r w:rsidRPr="00FD119E">
              <w:rPr>
                <w:sz w:val="20"/>
                <w:szCs w:val="20"/>
              </w:rPr>
              <w:t>Energy Efficiency Projects Officer</w:t>
            </w:r>
          </w:p>
          <w:p w:rsidR="00F30422" w:rsidRPr="00FD119E" w:rsidRDefault="00F30422" w:rsidP="00F30422">
            <w:pPr>
              <w:rPr>
                <w:sz w:val="20"/>
                <w:szCs w:val="20"/>
              </w:rPr>
            </w:pPr>
            <w:r w:rsidRPr="00FD119E">
              <w:rPr>
                <w:sz w:val="20"/>
                <w:szCs w:val="20"/>
              </w:rPr>
              <w:t>TMO Manager</w:t>
            </w:r>
          </w:p>
        </w:tc>
        <w:tc>
          <w:tcPr>
            <w:tcW w:w="1701" w:type="dxa"/>
          </w:tcPr>
          <w:p w:rsidR="00F30422" w:rsidRPr="00FD119E" w:rsidRDefault="00F30422" w:rsidP="00F30422">
            <w:pPr>
              <w:rPr>
                <w:b/>
                <w:sz w:val="20"/>
                <w:szCs w:val="20"/>
              </w:rPr>
            </w:pPr>
          </w:p>
        </w:tc>
      </w:tr>
      <w:tr w:rsidR="00F30422" w:rsidRPr="00C7054C" w:rsidTr="00BC15E1">
        <w:tc>
          <w:tcPr>
            <w:tcW w:w="1101" w:type="dxa"/>
            <w:vMerge/>
            <w:textDirection w:val="btLr"/>
          </w:tcPr>
          <w:p w:rsidR="00F30422" w:rsidRPr="00C7054C" w:rsidRDefault="00F30422" w:rsidP="00F30422">
            <w:pPr>
              <w:ind w:left="113" w:right="113"/>
              <w:jc w:val="center"/>
              <w:rPr>
                <w:sz w:val="20"/>
                <w:szCs w:val="20"/>
              </w:rPr>
            </w:pPr>
          </w:p>
        </w:tc>
        <w:tc>
          <w:tcPr>
            <w:tcW w:w="3969" w:type="dxa"/>
          </w:tcPr>
          <w:p w:rsidR="00F30422" w:rsidRPr="00C7054C" w:rsidRDefault="00F30422" w:rsidP="00F30422">
            <w:pPr>
              <w:rPr>
                <w:sz w:val="20"/>
                <w:szCs w:val="20"/>
              </w:rPr>
            </w:pPr>
            <w:r w:rsidRPr="00C7054C">
              <w:rPr>
                <w:sz w:val="20"/>
                <w:szCs w:val="20"/>
              </w:rPr>
              <w:t>Work with Oxfordshire Affordable Warmth Network (AWN) to integrate service with health and social care</w:t>
            </w:r>
            <w:r>
              <w:rPr>
                <w:sz w:val="20"/>
                <w:szCs w:val="20"/>
              </w:rPr>
              <w:t>, advice sector and LEAP project</w:t>
            </w:r>
          </w:p>
        </w:tc>
        <w:tc>
          <w:tcPr>
            <w:tcW w:w="1559" w:type="dxa"/>
          </w:tcPr>
          <w:p w:rsidR="00F30422" w:rsidRPr="00C7054C" w:rsidRDefault="00F30422" w:rsidP="00F30422">
            <w:pPr>
              <w:rPr>
                <w:sz w:val="20"/>
                <w:szCs w:val="20"/>
              </w:rPr>
            </w:pPr>
            <w:r w:rsidRPr="00C7054C">
              <w:rPr>
                <w:sz w:val="20"/>
                <w:szCs w:val="20"/>
              </w:rPr>
              <w:t>Oct 2017 – Mar 2019</w:t>
            </w:r>
          </w:p>
        </w:tc>
        <w:tc>
          <w:tcPr>
            <w:tcW w:w="3969" w:type="dxa"/>
          </w:tcPr>
          <w:p w:rsidR="00F30422" w:rsidRPr="00C7054C" w:rsidRDefault="00F30422" w:rsidP="00F30422">
            <w:pPr>
              <w:rPr>
                <w:sz w:val="20"/>
                <w:szCs w:val="20"/>
              </w:rPr>
            </w:pPr>
            <w:r w:rsidRPr="00C7054C">
              <w:rPr>
                <w:sz w:val="20"/>
                <w:szCs w:val="20"/>
              </w:rPr>
              <w:t>Increase the number of referrals made into the AWN</w:t>
            </w:r>
          </w:p>
        </w:tc>
        <w:tc>
          <w:tcPr>
            <w:tcW w:w="1559" w:type="dxa"/>
          </w:tcPr>
          <w:p w:rsidR="00F30422" w:rsidRPr="00C7054C" w:rsidRDefault="00F30422" w:rsidP="00F30422">
            <w:pPr>
              <w:rPr>
                <w:sz w:val="20"/>
                <w:szCs w:val="20"/>
              </w:rPr>
            </w:pPr>
            <w:r w:rsidRPr="00C7054C">
              <w:rPr>
                <w:sz w:val="20"/>
                <w:szCs w:val="20"/>
              </w:rPr>
              <w:t>Energy Efficiency Projects Officer</w:t>
            </w:r>
          </w:p>
        </w:tc>
        <w:tc>
          <w:tcPr>
            <w:tcW w:w="1701" w:type="dxa"/>
          </w:tcPr>
          <w:p w:rsidR="00F30422" w:rsidRPr="00C7054C" w:rsidRDefault="00F30422" w:rsidP="00F30422">
            <w:pPr>
              <w:rPr>
                <w:sz w:val="20"/>
                <w:szCs w:val="20"/>
              </w:rPr>
            </w:pPr>
            <w:r w:rsidRPr="00C7054C">
              <w:rPr>
                <w:sz w:val="20"/>
                <w:szCs w:val="20"/>
              </w:rPr>
              <w:t>Oxfordshire County Council and AWN partners</w:t>
            </w:r>
          </w:p>
        </w:tc>
      </w:tr>
      <w:tr w:rsidR="00F30422" w:rsidRPr="00C7054C"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Continue to provide energy efficiency grants</w:t>
            </w:r>
            <w:r>
              <w:rPr>
                <w:sz w:val="20"/>
                <w:szCs w:val="20"/>
              </w:rPr>
              <w:t xml:space="preserve"> and loans</w:t>
            </w:r>
            <w:r w:rsidRPr="00C7054C">
              <w:rPr>
                <w:sz w:val="20"/>
                <w:szCs w:val="20"/>
              </w:rPr>
              <w:t xml:space="preserve"> through the Council’s Home Improvement Agency</w:t>
            </w:r>
          </w:p>
        </w:tc>
        <w:tc>
          <w:tcPr>
            <w:tcW w:w="1559" w:type="dxa"/>
          </w:tcPr>
          <w:p w:rsidR="00F30422" w:rsidRPr="00C7054C" w:rsidRDefault="00F30422" w:rsidP="00F30422">
            <w:pPr>
              <w:rPr>
                <w:sz w:val="20"/>
                <w:szCs w:val="20"/>
              </w:rPr>
            </w:pPr>
            <w:r w:rsidRPr="00C7054C">
              <w:rPr>
                <w:sz w:val="20"/>
                <w:szCs w:val="20"/>
              </w:rPr>
              <w:t>Oct 2017 – Mar 2020</w:t>
            </w:r>
          </w:p>
        </w:tc>
        <w:tc>
          <w:tcPr>
            <w:tcW w:w="3969" w:type="dxa"/>
          </w:tcPr>
          <w:p w:rsidR="00F30422" w:rsidRPr="00C7054C" w:rsidRDefault="00F30422" w:rsidP="00F30422">
            <w:pPr>
              <w:rPr>
                <w:sz w:val="20"/>
                <w:szCs w:val="20"/>
              </w:rPr>
            </w:pPr>
            <w:r w:rsidRPr="00C7054C">
              <w:rPr>
                <w:sz w:val="20"/>
                <w:szCs w:val="20"/>
              </w:rPr>
              <w:t>Provide home owners with access to efficient boilers,</w:t>
            </w:r>
            <w:r>
              <w:rPr>
                <w:sz w:val="20"/>
                <w:szCs w:val="20"/>
              </w:rPr>
              <w:t xml:space="preserve"> boiler repairs and servicing, small repairs,</w:t>
            </w:r>
            <w:r w:rsidRPr="00C7054C">
              <w:rPr>
                <w:sz w:val="20"/>
                <w:szCs w:val="20"/>
              </w:rPr>
              <w:t xml:space="preserve"> double glazing and insulation</w:t>
            </w:r>
          </w:p>
        </w:tc>
        <w:tc>
          <w:tcPr>
            <w:tcW w:w="1559" w:type="dxa"/>
          </w:tcPr>
          <w:p w:rsidR="00F30422" w:rsidRPr="00C7054C" w:rsidRDefault="00F30422" w:rsidP="00F30422">
            <w:pPr>
              <w:rPr>
                <w:sz w:val="20"/>
                <w:szCs w:val="20"/>
              </w:rPr>
            </w:pPr>
            <w:r w:rsidRPr="00C7054C">
              <w:rPr>
                <w:sz w:val="20"/>
                <w:szCs w:val="20"/>
              </w:rPr>
              <w:t>Environmental Health Service Manager</w:t>
            </w:r>
          </w:p>
        </w:tc>
        <w:tc>
          <w:tcPr>
            <w:tcW w:w="1701" w:type="dxa"/>
          </w:tcPr>
          <w:p w:rsidR="00F30422" w:rsidRPr="00C7054C" w:rsidRDefault="00F30422" w:rsidP="00F30422">
            <w:pPr>
              <w:rPr>
                <w:sz w:val="20"/>
                <w:szCs w:val="20"/>
              </w:rPr>
            </w:pPr>
          </w:p>
        </w:tc>
      </w:tr>
      <w:tr w:rsidR="00F30422" w:rsidRPr="00C7054C"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Prioritise Council stock with an EPC rating of E,F or G for improvement measures</w:t>
            </w:r>
          </w:p>
        </w:tc>
        <w:tc>
          <w:tcPr>
            <w:tcW w:w="1559" w:type="dxa"/>
          </w:tcPr>
          <w:p w:rsidR="00F30422" w:rsidRPr="00C7054C" w:rsidRDefault="00F30422" w:rsidP="00F30422">
            <w:pPr>
              <w:rPr>
                <w:sz w:val="20"/>
                <w:szCs w:val="20"/>
              </w:rPr>
            </w:pPr>
            <w:r w:rsidRPr="00C7054C">
              <w:rPr>
                <w:sz w:val="20"/>
                <w:szCs w:val="20"/>
              </w:rPr>
              <w:t>Oct 2017 – Mar 2019</w:t>
            </w:r>
          </w:p>
        </w:tc>
        <w:tc>
          <w:tcPr>
            <w:tcW w:w="3969" w:type="dxa"/>
          </w:tcPr>
          <w:p w:rsidR="00F30422" w:rsidRPr="00C7054C" w:rsidRDefault="00F30422" w:rsidP="00F30422">
            <w:pPr>
              <w:rPr>
                <w:sz w:val="20"/>
                <w:szCs w:val="20"/>
              </w:rPr>
            </w:pPr>
            <w:r w:rsidRPr="00C7054C">
              <w:rPr>
                <w:sz w:val="20"/>
                <w:szCs w:val="20"/>
              </w:rPr>
              <w:t>Improve the energy efficiency of Council stock</w:t>
            </w:r>
          </w:p>
        </w:tc>
        <w:tc>
          <w:tcPr>
            <w:tcW w:w="1559" w:type="dxa"/>
          </w:tcPr>
          <w:p w:rsidR="00F30422" w:rsidRPr="00C7054C" w:rsidRDefault="00F30422" w:rsidP="00F30422">
            <w:pPr>
              <w:rPr>
                <w:sz w:val="20"/>
                <w:szCs w:val="20"/>
              </w:rPr>
            </w:pPr>
            <w:r w:rsidRPr="00C7054C">
              <w:rPr>
                <w:sz w:val="20"/>
                <w:szCs w:val="20"/>
              </w:rPr>
              <w:t>Property Services Manager</w:t>
            </w:r>
          </w:p>
        </w:tc>
        <w:tc>
          <w:tcPr>
            <w:tcW w:w="1701" w:type="dxa"/>
          </w:tcPr>
          <w:p w:rsidR="00F30422" w:rsidRPr="00C7054C" w:rsidRDefault="00F30422" w:rsidP="00F30422">
            <w:pPr>
              <w:rPr>
                <w:sz w:val="20"/>
                <w:szCs w:val="20"/>
              </w:rPr>
            </w:pPr>
          </w:p>
        </w:tc>
      </w:tr>
      <w:tr w:rsidR="00F30422" w:rsidRPr="00C7054C"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Provide loft insulation of 270mm to all Council stock, and replace older, less efficient boilers</w:t>
            </w:r>
          </w:p>
        </w:tc>
        <w:tc>
          <w:tcPr>
            <w:tcW w:w="1559" w:type="dxa"/>
          </w:tcPr>
          <w:p w:rsidR="00F30422" w:rsidRPr="00C7054C" w:rsidRDefault="00F30422" w:rsidP="00F30422">
            <w:pPr>
              <w:rPr>
                <w:sz w:val="20"/>
                <w:szCs w:val="20"/>
              </w:rPr>
            </w:pPr>
            <w:r w:rsidRPr="00C7054C">
              <w:rPr>
                <w:sz w:val="20"/>
                <w:szCs w:val="20"/>
              </w:rPr>
              <w:t>Oct 2017 – Mar 2019</w:t>
            </w:r>
          </w:p>
        </w:tc>
        <w:tc>
          <w:tcPr>
            <w:tcW w:w="3969" w:type="dxa"/>
          </w:tcPr>
          <w:p w:rsidR="00F30422" w:rsidRPr="00C7054C" w:rsidRDefault="00F30422" w:rsidP="00F30422">
            <w:pPr>
              <w:rPr>
                <w:sz w:val="20"/>
                <w:szCs w:val="20"/>
              </w:rPr>
            </w:pPr>
            <w:r w:rsidRPr="00C7054C">
              <w:rPr>
                <w:sz w:val="20"/>
                <w:szCs w:val="20"/>
              </w:rPr>
              <w:t>Improve the energy efficiency of Council stock</w:t>
            </w:r>
          </w:p>
        </w:tc>
        <w:tc>
          <w:tcPr>
            <w:tcW w:w="1559" w:type="dxa"/>
          </w:tcPr>
          <w:p w:rsidR="00F30422" w:rsidRPr="00C7054C" w:rsidRDefault="00F30422" w:rsidP="00F30422">
            <w:pPr>
              <w:rPr>
                <w:sz w:val="20"/>
                <w:szCs w:val="20"/>
              </w:rPr>
            </w:pPr>
            <w:r w:rsidRPr="00C7054C">
              <w:rPr>
                <w:sz w:val="20"/>
                <w:szCs w:val="20"/>
              </w:rPr>
              <w:t>Property Services Manager</w:t>
            </w:r>
          </w:p>
        </w:tc>
        <w:tc>
          <w:tcPr>
            <w:tcW w:w="1701" w:type="dxa"/>
          </w:tcPr>
          <w:p w:rsidR="00F30422" w:rsidRPr="00C7054C" w:rsidRDefault="00F30422" w:rsidP="00F30422">
            <w:pPr>
              <w:rPr>
                <w:sz w:val="20"/>
                <w:szCs w:val="20"/>
              </w:rPr>
            </w:pPr>
          </w:p>
        </w:tc>
      </w:tr>
      <w:tr w:rsidR="00F30422" w:rsidRPr="00C7054C"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Offer an upgrade from electrical heating to gas central heating to all tenants</w:t>
            </w:r>
          </w:p>
        </w:tc>
        <w:tc>
          <w:tcPr>
            <w:tcW w:w="1559" w:type="dxa"/>
          </w:tcPr>
          <w:p w:rsidR="00F30422" w:rsidRPr="00C7054C" w:rsidRDefault="00F30422" w:rsidP="00F30422">
            <w:pPr>
              <w:rPr>
                <w:sz w:val="20"/>
                <w:szCs w:val="20"/>
              </w:rPr>
            </w:pPr>
            <w:r w:rsidRPr="00C7054C">
              <w:rPr>
                <w:sz w:val="20"/>
                <w:szCs w:val="20"/>
              </w:rPr>
              <w:t>Oct 2017 – Mar 2019</w:t>
            </w:r>
          </w:p>
        </w:tc>
        <w:tc>
          <w:tcPr>
            <w:tcW w:w="3969" w:type="dxa"/>
          </w:tcPr>
          <w:p w:rsidR="00F30422" w:rsidRPr="00C7054C" w:rsidRDefault="00F30422" w:rsidP="00F30422">
            <w:pPr>
              <w:rPr>
                <w:sz w:val="20"/>
                <w:szCs w:val="20"/>
              </w:rPr>
            </w:pPr>
            <w:r w:rsidRPr="00C7054C">
              <w:rPr>
                <w:sz w:val="20"/>
                <w:szCs w:val="20"/>
              </w:rPr>
              <w:t>Improve the energy efficiency of Council stock</w:t>
            </w:r>
          </w:p>
        </w:tc>
        <w:tc>
          <w:tcPr>
            <w:tcW w:w="1559" w:type="dxa"/>
          </w:tcPr>
          <w:p w:rsidR="00F30422" w:rsidRPr="00C7054C" w:rsidRDefault="00F30422" w:rsidP="00F30422">
            <w:pPr>
              <w:rPr>
                <w:sz w:val="20"/>
                <w:szCs w:val="20"/>
              </w:rPr>
            </w:pPr>
            <w:r w:rsidRPr="00C7054C">
              <w:rPr>
                <w:sz w:val="20"/>
                <w:szCs w:val="20"/>
              </w:rPr>
              <w:t>Property Services Manager</w:t>
            </w:r>
          </w:p>
        </w:tc>
        <w:tc>
          <w:tcPr>
            <w:tcW w:w="1701" w:type="dxa"/>
          </w:tcPr>
          <w:p w:rsidR="00F30422" w:rsidRPr="00C7054C" w:rsidRDefault="00F30422" w:rsidP="00F30422">
            <w:pPr>
              <w:rPr>
                <w:sz w:val="20"/>
                <w:szCs w:val="20"/>
              </w:rPr>
            </w:pPr>
          </w:p>
        </w:tc>
      </w:tr>
      <w:tr w:rsidR="00F30422" w:rsidRPr="00C7054C" w:rsidTr="00BC15E1">
        <w:tc>
          <w:tcPr>
            <w:tcW w:w="1101" w:type="dxa"/>
            <w:vMerge w:val="restart"/>
            <w:shd w:val="clear" w:color="auto" w:fill="D9D9D9" w:themeFill="background1" w:themeFillShade="D9"/>
            <w:textDirection w:val="btLr"/>
          </w:tcPr>
          <w:p w:rsidR="00F30422" w:rsidRPr="00C7054C" w:rsidRDefault="00F30422" w:rsidP="00F30422">
            <w:pPr>
              <w:ind w:left="113" w:right="113"/>
              <w:jc w:val="center"/>
              <w:rPr>
                <w:sz w:val="20"/>
                <w:szCs w:val="20"/>
              </w:rPr>
            </w:pPr>
            <w:r w:rsidRPr="00C7054C">
              <w:rPr>
                <w:sz w:val="20"/>
                <w:szCs w:val="20"/>
              </w:rPr>
              <w:t>SKILLS – Short Term</w:t>
            </w:r>
          </w:p>
        </w:tc>
        <w:tc>
          <w:tcPr>
            <w:tcW w:w="3969" w:type="dxa"/>
            <w:shd w:val="clear" w:color="auto" w:fill="D9D9D9" w:themeFill="background1" w:themeFillShade="D9"/>
          </w:tcPr>
          <w:p w:rsidR="00F30422" w:rsidRPr="00C7054C" w:rsidRDefault="00F30422" w:rsidP="00F30422">
            <w:pPr>
              <w:rPr>
                <w:sz w:val="20"/>
                <w:szCs w:val="20"/>
              </w:rPr>
            </w:pPr>
            <w:r w:rsidRPr="00C7054C">
              <w:rPr>
                <w:sz w:val="20"/>
                <w:szCs w:val="20"/>
              </w:rPr>
              <w:t>Develop an Assisted Digital Support offer for Universal Credit customers, and keep this under review as UC rolls out.</w:t>
            </w:r>
          </w:p>
        </w:tc>
        <w:tc>
          <w:tcPr>
            <w:tcW w:w="1559" w:type="dxa"/>
            <w:shd w:val="clear" w:color="auto" w:fill="D9D9D9" w:themeFill="background1" w:themeFillShade="D9"/>
          </w:tcPr>
          <w:p w:rsidR="00F30422" w:rsidRPr="00C7054C" w:rsidRDefault="00F30422" w:rsidP="00F30422">
            <w:pPr>
              <w:rPr>
                <w:sz w:val="20"/>
                <w:szCs w:val="20"/>
              </w:rPr>
            </w:pPr>
            <w:r w:rsidRPr="00C7054C">
              <w:rPr>
                <w:sz w:val="20"/>
                <w:szCs w:val="20"/>
              </w:rPr>
              <w:t>In place by Oct 17, then ongoing</w:t>
            </w:r>
          </w:p>
        </w:tc>
        <w:tc>
          <w:tcPr>
            <w:tcW w:w="3969" w:type="dxa"/>
            <w:shd w:val="clear" w:color="auto" w:fill="D9D9D9" w:themeFill="background1" w:themeFillShade="D9"/>
          </w:tcPr>
          <w:p w:rsidR="00F30422" w:rsidRPr="00C7054C" w:rsidRDefault="00F30422" w:rsidP="00F30422">
            <w:pPr>
              <w:rPr>
                <w:sz w:val="20"/>
                <w:szCs w:val="20"/>
              </w:rPr>
            </w:pPr>
            <w:r w:rsidRPr="00C7054C">
              <w:rPr>
                <w:sz w:val="20"/>
                <w:szCs w:val="20"/>
              </w:rPr>
              <w:t>To ensure people are able to make and manage their claim for UC online.</w:t>
            </w:r>
          </w:p>
          <w:p w:rsidR="00F30422" w:rsidRPr="00C7054C" w:rsidRDefault="00F30422" w:rsidP="00F30422">
            <w:pPr>
              <w:rPr>
                <w:sz w:val="20"/>
                <w:szCs w:val="20"/>
              </w:rPr>
            </w:pPr>
          </w:p>
        </w:tc>
        <w:tc>
          <w:tcPr>
            <w:tcW w:w="1559" w:type="dxa"/>
            <w:shd w:val="clear" w:color="auto" w:fill="D9D9D9" w:themeFill="background1" w:themeFillShade="D9"/>
          </w:tcPr>
          <w:p w:rsidR="00F30422" w:rsidRPr="00C7054C" w:rsidRDefault="00F30422" w:rsidP="00F30422">
            <w:pPr>
              <w:rPr>
                <w:sz w:val="20"/>
                <w:szCs w:val="20"/>
              </w:rPr>
            </w:pPr>
            <w:r w:rsidRPr="00C7054C">
              <w:rPr>
                <w:sz w:val="20"/>
                <w:szCs w:val="20"/>
              </w:rPr>
              <w:t>Welfare Reform Manager</w:t>
            </w:r>
          </w:p>
        </w:tc>
        <w:tc>
          <w:tcPr>
            <w:tcW w:w="1701" w:type="dxa"/>
            <w:shd w:val="clear" w:color="auto" w:fill="D9D9D9" w:themeFill="background1" w:themeFillShade="D9"/>
          </w:tcPr>
          <w:p w:rsidR="00F30422" w:rsidRPr="00C7054C" w:rsidRDefault="00F30422" w:rsidP="00F30422">
            <w:pPr>
              <w:rPr>
                <w:sz w:val="20"/>
                <w:szCs w:val="20"/>
              </w:rPr>
            </w:pPr>
            <w:r w:rsidRPr="00C7054C">
              <w:rPr>
                <w:sz w:val="20"/>
                <w:szCs w:val="20"/>
              </w:rPr>
              <w:t>Jobcentre Plus</w:t>
            </w:r>
          </w:p>
          <w:p w:rsidR="00F30422" w:rsidRPr="00C7054C" w:rsidRDefault="00F30422" w:rsidP="00F30422">
            <w:pPr>
              <w:rPr>
                <w:sz w:val="20"/>
                <w:szCs w:val="20"/>
              </w:rPr>
            </w:pPr>
            <w:r w:rsidRPr="00C7054C">
              <w:rPr>
                <w:sz w:val="20"/>
                <w:szCs w:val="20"/>
              </w:rPr>
              <w:t xml:space="preserve">OCC Customer Services </w:t>
            </w:r>
          </w:p>
        </w:tc>
      </w:tr>
      <w:tr w:rsidR="00F30422" w:rsidRPr="00C7054C" w:rsidTr="00BC15E1">
        <w:tc>
          <w:tcPr>
            <w:tcW w:w="1101" w:type="dxa"/>
            <w:vMerge/>
            <w:shd w:val="clear" w:color="auto" w:fill="D9D9D9" w:themeFill="background1" w:themeFillShade="D9"/>
          </w:tcPr>
          <w:p w:rsidR="00F30422" w:rsidRPr="00C7054C" w:rsidRDefault="00F30422" w:rsidP="00F30422">
            <w:pPr>
              <w:rPr>
                <w:sz w:val="20"/>
                <w:szCs w:val="20"/>
              </w:rPr>
            </w:pPr>
          </w:p>
        </w:tc>
        <w:tc>
          <w:tcPr>
            <w:tcW w:w="3969" w:type="dxa"/>
            <w:shd w:val="clear" w:color="auto" w:fill="D9D9D9" w:themeFill="background1" w:themeFillShade="D9"/>
          </w:tcPr>
          <w:p w:rsidR="00F30422" w:rsidRPr="00C7054C" w:rsidRDefault="00F30422" w:rsidP="00F30422">
            <w:pPr>
              <w:rPr>
                <w:sz w:val="20"/>
                <w:szCs w:val="20"/>
              </w:rPr>
            </w:pPr>
            <w:r w:rsidRPr="00C7054C">
              <w:rPr>
                <w:sz w:val="20"/>
                <w:szCs w:val="20"/>
              </w:rPr>
              <w:t>Introduce weekly drop in days for customers to get practical assistance in using digital devices</w:t>
            </w:r>
          </w:p>
        </w:tc>
        <w:tc>
          <w:tcPr>
            <w:tcW w:w="1559" w:type="dxa"/>
            <w:shd w:val="clear" w:color="auto" w:fill="D9D9D9" w:themeFill="background1" w:themeFillShade="D9"/>
          </w:tcPr>
          <w:p w:rsidR="00F30422" w:rsidRPr="00C7054C" w:rsidRDefault="00F30422" w:rsidP="00F30422">
            <w:pPr>
              <w:rPr>
                <w:sz w:val="20"/>
                <w:szCs w:val="20"/>
              </w:rPr>
            </w:pPr>
            <w:r w:rsidRPr="00C7054C">
              <w:rPr>
                <w:sz w:val="20"/>
                <w:szCs w:val="20"/>
              </w:rPr>
              <w:t>Rollout from Oct 2017</w:t>
            </w:r>
          </w:p>
        </w:tc>
        <w:tc>
          <w:tcPr>
            <w:tcW w:w="3969" w:type="dxa"/>
            <w:shd w:val="clear" w:color="auto" w:fill="D9D9D9" w:themeFill="background1" w:themeFillShade="D9"/>
          </w:tcPr>
          <w:p w:rsidR="00F30422" w:rsidRPr="00C7054C" w:rsidRDefault="00F30422" w:rsidP="00F30422">
            <w:pPr>
              <w:rPr>
                <w:sz w:val="20"/>
                <w:szCs w:val="20"/>
              </w:rPr>
            </w:pPr>
            <w:r w:rsidRPr="00C7054C">
              <w:rPr>
                <w:sz w:val="20"/>
                <w:szCs w:val="20"/>
              </w:rPr>
              <w:t>Increase the number of residents accessing services online.</w:t>
            </w:r>
          </w:p>
        </w:tc>
        <w:tc>
          <w:tcPr>
            <w:tcW w:w="1559" w:type="dxa"/>
            <w:shd w:val="clear" w:color="auto" w:fill="D9D9D9" w:themeFill="background1" w:themeFillShade="D9"/>
          </w:tcPr>
          <w:p w:rsidR="00F30422" w:rsidRPr="00C7054C" w:rsidRDefault="00F30422" w:rsidP="00F30422">
            <w:pPr>
              <w:rPr>
                <w:sz w:val="20"/>
                <w:szCs w:val="20"/>
              </w:rPr>
            </w:pPr>
            <w:r w:rsidRPr="00C7054C">
              <w:rPr>
                <w:sz w:val="20"/>
                <w:szCs w:val="20"/>
              </w:rPr>
              <w:t>Digital Development Manager</w:t>
            </w:r>
          </w:p>
        </w:tc>
        <w:tc>
          <w:tcPr>
            <w:tcW w:w="1701" w:type="dxa"/>
            <w:shd w:val="clear" w:color="auto" w:fill="D9D9D9" w:themeFill="background1" w:themeFillShade="D9"/>
          </w:tcPr>
          <w:p w:rsidR="00F30422" w:rsidRPr="00C7054C" w:rsidRDefault="00F30422" w:rsidP="00F30422">
            <w:pPr>
              <w:rPr>
                <w:sz w:val="20"/>
                <w:szCs w:val="20"/>
              </w:rPr>
            </w:pPr>
            <w:r w:rsidRPr="00C7054C">
              <w:rPr>
                <w:sz w:val="20"/>
                <w:szCs w:val="20"/>
              </w:rPr>
              <w:t>OCC Customer Services</w:t>
            </w:r>
          </w:p>
        </w:tc>
      </w:tr>
      <w:tr w:rsidR="00F30422" w:rsidRPr="00C7054C" w:rsidTr="00BC15E1">
        <w:tc>
          <w:tcPr>
            <w:tcW w:w="1101" w:type="dxa"/>
            <w:vMerge w:val="restart"/>
            <w:textDirection w:val="btLr"/>
          </w:tcPr>
          <w:p w:rsidR="00F30422" w:rsidRPr="00C7054C" w:rsidRDefault="00F30422" w:rsidP="00F30422">
            <w:pPr>
              <w:ind w:left="113" w:right="113"/>
              <w:jc w:val="center"/>
              <w:rPr>
                <w:sz w:val="20"/>
                <w:szCs w:val="20"/>
              </w:rPr>
            </w:pPr>
            <w:r w:rsidRPr="00C7054C">
              <w:rPr>
                <w:sz w:val="20"/>
                <w:szCs w:val="20"/>
              </w:rPr>
              <w:lastRenderedPageBreak/>
              <w:t>SKILLS – Long Term</w:t>
            </w:r>
          </w:p>
        </w:tc>
        <w:tc>
          <w:tcPr>
            <w:tcW w:w="3969" w:type="dxa"/>
          </w:tcPr>
          <w:p w:rsidR="00F30422" w:rsidRPr="00C7054C" w:rsidRDefault="00F30422" w:rsidP="00F30422">
            <w:pPr>
              <w:rPr>
                <w:b/>
                <w:sz w:val="20"/>
                <w:szCs w:val="20"/>
              </w:rPr>
            </w:pPr>
            <w:r w:rsidRPr="00C7054C">
              <w:rPr>
                <w:b/>
                <w:sz w:val="20"/>
                <w:szCs w:val="20"/>
              </w:rPr>
              <w:t>TASK</w:t>
            </w:r>
          </w:p>
        </w:tc>
        <w:tc>
          <w:tcPr>
            <w:tcW w:w="1559" w:type="dxa"/>
          </w:tcPr>
          <w:p w:rsidR="00F30422" w:rsidRPr="00C7054C" w:rsidRDefault="00F30422" w:rsidP="00F30422">
            <w:pPr>
              <w:rPr>
                <w:b/>
                <w:sz w:val="20"/>
                <w:szCs w:val="20"/>
              </w:rPr>
            </w:pPr>
            <w:r w:rsidRPr="00C7054C">
              <w:rPr>
                <w:b/>
                <w:sz w:val="20"/>
                <w:szCs w:val="20"/>
              </w:rPr>
              <w:t>TIMESCALE</w:t>
            </w:r>
          </w:p>
        </w:tc>
        <w:tc>
          <w:tcPr>
            <w:tcW w:w="3969" w:type="dxa"/>
          </w:tcPr>
          <w:p w:rsidR="00F30422" w:rsidRPr="00C7054C" w:rsidRDefault="00F30422" w:rsidP="00F30422">
            <w:pPr>
              <w:rPr>
                <w:b/>
                <w:sz w:val="20"/>
                <w:szCs w:val="20"/>
              </w:rPr>
            </w:pPr>
            <w:r w:rsidRPr="00C7054C">
              <w:rPr>
                <w:b/>
                <w:sz w:val="20"/>
                <w:szCs w:val="20"/>
              </w:rPr>
              <w:t>TARGET/OUTCOME</w:t>
            </w:r>
          </w:p>
        </w:tc>
        <w:tc>
          <w:tcPr>
            <w:tcW w:w="1559" w:type="dxa"/>
          </w:tcPr>
          <w:p w:rsidR="00F30422" w:rsidRPr="00C7054C" w:rsidRDefault="00F30422" w:rsidP="00F30422">
            <w:pPr>
              <w:rPr>
                <w:b/>
                <w:sz w:val="20"/>
                <w:szCs w:val="20"/>
              </w:rPr>
            </w:pPr>
            <w:r w:rsidRPr="00C7054C">
              <w:rPr>
                <w:b/>
                <w:sz w:val="20"/>
                <w:szCs w:val="20"/>
              </w:rPr>
              <w:t>RESP.</w:t>
            </w:r>
          </w:p>
        </w:tc>
        <w:tc>
          <w:tcPr>
            <w:tcW w:w="1701" w:type="dxa"/>
          </w:tcPr>
          <w:p w:rsidR="00F30422" w:rsidRPr="00C7054C" w:rsidRDefault="00F30422" w:rsidP="00F30422">
            <w:pPr>
              <w:rPr>
                <w:b/>
                <w:sz w:val="20"/>
                <w:szCs w:val="20"/>
              </w:rPr>
            </w:pPr>
            <w:r w:rsidRPr="00C7054C">
              <w:rPr>
                <w:b/>
                <w:sz w:val="20"/>
                <w:szCs w:val="20"/>
              </w:rPr>
              <w:t>PARTNERS</w:t>
            </w:r>
          </w:p>
        </w:tc>
      </w:tr>
      <w:tr w:rsidR="00F30422" w:rsidRPr="00C7054C" w:rsidTr="00BC15E1">
        <w:tc>
          <w:tcPr>
            <w:tcW w:w="1101" w:type="dxa"/>
            <w:vMerge/>
            <w:textDirection w:val="btLr"/>
          </w:tcPr>
          <w:p w:rsidR="00F30422" w:rsidRPr="00C7054C" w:rsidRDefault="00F30422" w:rsidP="00F30422">
            <w:pPr>
              <w:ind w:left="113" w:right="113"/>
              <w:jc w:val="center"/>
              <w:rPr>
                <w:sz w:val="20"/>
                <w:szCs w:val="20"/>
              </w:rPr>
            </w:pPr>
          </w:p>
        </w:tc>
        <w:tc>
          <w:tcPr>
            <w:tcW w:w="3969" w:type="dxa"/>
          </w:tcPr>
          <w:p w:rsidR="00F30422" w:rsidRPr="00C7054C" w:rsidRDefault="00F30422" w:rsidP="00F30422">
            <w:pPr>
              <w:rPr>
                <w:sz w:val="20"/>
                <w:szCs w:val="20"/>
              </w:rPr>
            </w:pPr>
            <w:r w:rsidRPr="00C7054C">
              <w:rPr>
                <w:sz w:val="20"/>
                <w:szCs w:val="20"/>
              </w:rPr>
              <w:t xml:space="preserve">Lead delivery of the </w:t>
            </w:r>
            <w:proofErr w:type="spellStart"/>
            <w:r w:rsidRPr="00C7054C">
              <w:rPr>
                <w:sz w:val="20"/>
                <w:szCs w:val="20"/>
              </w:rPr>
              <w:t>ESiF</w:t>
            </w:r>
            <w:proofErr w:type="spellEnd"/>
            <w:r w:rsidRPr="00C7054C">
              <w:rPr>
                <w:sz w:val="20"/>
                <w:szCs w:val="20"/>
              </w:rPr>
              <w:t xml:space="preserve"> funded Unlocking Potential in Oxfordshire project</w:t>
            </w:r>
          </w:p>
        </w:tc>
        <w:tc>
          <w:tcPr>
            <w:tcW w:w="1559" w:type="dxa"/>
          </w:tcPr>
          <w:p w:rsidR="00F30422" w:rsidRPr="00C7054C" w:rsidRDefault="00F30422" w:rsidP="00F30422">
            <w:pPr>
              <w:rPr>
                <w:sz w:val="20"/>
                <w:szCs w:val="20"/>
              </w:rPr>
            </w:pPr>
            <w:r w:rsidRPr="00C7054C">
              <w:rPr>
                <w:sz w:val="20"/>
                <w:szCs w:val="20"/>
              </w:rPr>
              <w:t>Oct 2017 - Dec 2019</w:t>
            </w:r>
          </w:p>
        </w:tc>
        <w:tc>
          <w:tcPr>
            <w:tcW w:w="3969" w:type="dxa"/>
          </w:tcPr>
          <w:p w:rsidR="00F30422" w:rsidRPr="00C7054C" w:rsidRDefault="00F30422" w:rsidP="00F30422">
            <w:pPr>
              <w:rPr>
                <w:sz w:val="20"/>
                <w:szCs w:val="20"/>
              </w:rPr>
            </w:pPr>
            <w:r w:rsidRPr="00C7054C">
              <w:rPr>
                <w:sz w:val="20"/>
                <w:szCs w:val="20"/>
              </w:rPr>
              <w:t>Provide employment and training for disadvantaged young people aged 17-19 not in employment education or training</w:t>
            </w:r>
          </w:p>
        </w:tc>
        <w:tc>
          <w:tcPr>
            <w:tcW w:w="1559" w:type="dxa"/>
          </w:tcPr>
          <w:p w:rsidR="00F30422" w:rsidRPr="00C7054C" w:rsidRDefault="00F30422" w:rsidP="00F30422">
            <w:pPr>
              <w:rPr>
                <w:sz w:val="20"/>
                <w:szCs w:val="20"/>
              </w:rPr>
            </w:pPr>
            <w:r w:rsidRPr="00C7054C">
              <w:rPr>
                <w:sz w:val="20"/>
                <w:szCs w:val="20"/>
              </w:rPr>
              <w:t>Revenues &amp; Benefits Programme Manager</w:t>
            </w:r>
          </w:p>
        </w:tc>
        <w:tc>
          <w:tcPr>
            <w:tcW w:w="1701" w:type="dxa"/>
          </w:tcPr>
          <w:p w:rsidR="00F30422" w:rsidRPr="00C7054C" w:rsidRDefault="00F30422" w:rsidP="00F30422">
            <w:pPr>
              <w:rPr>
                <w:sz w:val="20"/>
                <w:szCs w:val="20"/>
              </w:rPr>
            </w:pPr>
            <w:r w:rsidRPr="00C7054C">
              <w:rPr>
                <w:sz w:val="20"/>
                <w:szCs w:val="20"/>
              </w:rPr>
              <w:t>Unlocking Potential project partners</w:t>
            </w:r>
          </w:p>
        </w:tc>
      </w:tr>
      <w:tr w:rsidR="00F30422" w:rsidRPr="00C7054C"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Host 2-3 Community Job fairs per year as funding permits</w:t>
            </w:r>
          </w:p>
        </w:tc>
        <w:tc>
          <w:tcPr>
            <w:tcW w:w="1559" w:type="dxa"/>
          </w:tcPr>
          <w:p w:rsidR="00F30422" w:rsidRDefault="00F30422" w:rsidP="00F30422">
            <w:pPr>
              <w:rPr>
                <w:sz w:val="20"/>
                <w:szCs w:val="20"/>
              </w:rPr>
            </w:pPr>
            <w:r>
              <w:rPr>
                <w:sz w:val="20"/>
                <w:szCs w:val="20"/>
              </w:rPr>
              <w:t xml:space="preserve">Oct 17 – </w:t>
            </w:r>
          </w:p>
          <w:p w:rsidR="00F30422" w:rsidRPr="00C7054C" w:rsidRDefault="00F30422" w:rsidP="00F30422">
            <w:pPr>
              <w:rPr>
                <w:sz w:val="20"/>
                <w:szCs w:val="20"/>
              </w:rPr>
            </w:pPr>
            <w:r>
              <w:rPr>
                <w:sz w:val="20"/>
                <w:szCs w:val="20"/>
              </w:rPr>
              <w:t>Mar 2020</w:t>
            </w:r>
          </w:p>
        </w:tc>
        <w:tc>
          <w:tcPr>
            <w:tcW w:w="3969" w:type="dxa"/>
          </w:tcPr>
          <w:p w:rsidR="00F30422" w:rsidRPr="00C7054C" w:rsidRDefault="00F30422" w:rsidP="00F30422">
            <w:pPr>
              <w:rPr>
                <w:sz w:val="20"/>
                <w:szCs w:val="20"/>
              </w:rPr>
            </w:pPr>
            <w:r w:rsidRPr="00C7054C">
              <w:rPr>
                <w:sz w:val="20"/>
                <w:szCs w:val="20"/>
              </w:rPr>
              <w:t>People who need to find work are able to access opportunities.</w:t>
            </w:r>
          </w:p>
          <w:p w:rsidR="00F30422" w:rsidRPr="00C7054C" w:rsidRDefault="00F30422" w:rsidP="00F30422">
            <w:pPr>
              <w:rPr>
                <w:sz w:val="20"/>
                <w:szCs w:val="20"/>
              </w:rPr>
            </w:pPr>
            <w:r w:rsidRPr="00C7054C">
              <w:rPr>
                <w:sz w:val="20"/>
                <w:szCs w:val="20"/>
              </w:rPr>
              <w:t>Local employers are able to recruit to their vacancies</w:t>
            </w:r>
          </w:p>
        </w:tc>
        <w:tc>
          <w:tcPr>
            <w:tcW w:w="1559" w:type="dxa"/>
          </w:tcPr>
          <w:p w:rsidR="00F30422" w:rsidRPr="00C7054C" w:rsidRDefault="00F30422" w:rsidP="00F30422">
            <w:pPr>
              <w:rPr>
                <w:sz w:val="20"/>
                <w:szCs w:val="20"/>
              </w:rPr>
            </w:pPr>
            <w:r w:rsidRPr="00C7054C">
              <w:rPr>
                <w:sz w:val="20"/>
                <w:szCs w:val="20"/>
              </w:rPr>
              <w:t>Welfare Reform Manager</w:t>
            </w:r>
          </w:p>
        </w:tc>
        <w:tc>
          <w:tcPr>
            <w:tcW w:w="1701" w:type="dxa"/>
          </w:tcPr>
          <w:p w:rsidR="00F30422" w:rsidRPr="00C7054C" w:rsidRDefault="00F30422" w:rsidP="00F30422">
            <w:pPr>
              <w:rPr>
                <w:sz w:val="20"/>
                <w:szCs w:val="20"/>
              </w:rPr>
            </w:pPr>
            <w:r w:rsidRPr="00C7054C">
              <w:rPr>
                <w:sz w:val="20"/>
                <w:szCs w:val="20"/>
              </w:rPr>
              <w:t>Aspire</w:t>
            </w:r>
          </w:p>
          <w:p w:rsidR="00F30422" w:rsidRPr="00C7054C" w:rsidRDefault="00F30422" w:rsidP="00F30422">
            <w:pPr>
              <w:rPr>
                <w:caps/>
                <w:sz w:val="20"/>
                <w:szCs w:val="20"/>
              </w:rPr>
            </w:pPr>
            <w:r w:rsidRPr="00C7054C">
              <w:rPr>
                <w:sz w:val="20"/>
                <w:szCs w:val="20"/>
              </w:rPr>
              <w:t xml:space="preserve">Locality Officers </w:t>
            </w:r>
          </w:p>
        </w:tc>
      </w:tr>
      <w:tr w:rsidR="00F30422" w:rsidRPr="00834020" w:rsidTr="0005251D">
        <w:tc>
          <w:tcPr>
            <w:tcW w:w="1101" w:type="dxa"/>
            <w:vMerge/>
          </w:tcPr>
          <w:p w:rsidR="00F30422" w:rsidRPr="00C7054C" w:rsidRDefault="00F30422" w:rsidP="00F30422">
            <w:pPr>
              <w:rPr>
                <w:sz w:val="20"/>
                <w:szCs w:val="20"/>
              </w:rPr>
            </w:pPr>
          </w:p>
        </w:tc>
        <w:tc>
          <w:tcPr>
            <w:tcW w:w="3969" w:type="dxa"/>
          </w:tcPr>
          <w:p w:rsidR="00F30422" w:rsidRPr="00C7054C" w:rsidRDefault="00F30422" w:rsidP="00F30422">
            <w:pPr>
              <w:rPr>
                <w:sz w:val="20"/>
                <w:szCs w:val="20"/>
              </w:rPr>
            </w:pPr>
            <w:r w:rsidRPr="00C7054C">
              <w:rPr>
                <w:sz w:val="20"/>
                <w:szCs w:val="20"/>
              </w:rPr>
              <w:t>Increased provision of pre-entry ESOL</w:t>
            </w:r>
          </w:p>
        </w:tc>
        <w:tc>
          <w:tcPr>
            <w:tcW w:w="1559" w:type="dxa"/>
          </w:tcPr>
          <w:p w:rsidR="00F30422" w:rsidRPr="00C7054C" w:rsidRDefault="00F30422" w:rsidP="00F30422">
            <w:pPr>
              <w:rPr>
                <w:sz w:val="20"/>
                <w:szCs w:val="20"/>
              </w:rPr>
            </w:pPr>
            <w:r w:rsidRPr="00C7054C">
              <w:rPr>
                <w:sz w:val="20"/>
                <w:szCs w:val="20"/>
              </w:rPr>
              <w:t>Apr 2018 – Mar 2020</w:t>
            </w:r>
          </w:p>
        </w:tc>
        <w:tc>
          <w:tcPr>
            <w:tcW w:w="3969" w:type="dxa"/>
          </w:tcPr>
          <w:p w:rsidR="00F30422" w:rsidRPr="00C7054C" w:rsidRDefault="00F30422" w:rsidP="00F30422">
            <w:pPr>
              <w:rPr>
                <w:sz w:val="20"/>
                <w:szCs w:val="20"/>
              </w:rPr>
            </w:pPr>
            <w:r w:rsidRPr="00C7054C">
              <w:rPr>
                <w:sz w:val="20"/>
                <w:szCs w:val="20"/>
              </w:rPr>
              <w:t>Delivery of 4 pre-entry ESOL courses with 12 students per course, which will support migrants to access local services.</w:t>
            </w:r>
          </w:p>
        </w:tc>
        <w:tc>
          <w:tcPr>
            <w:tcW w:w="1559" w:type="dxa"/>
          </w:tcPr>
          <w:p w:rsidR="00F30422" w:rsidRPr="00C7054C" w:rsidRDefault="00F30422" w:rsidP="00F30422">
            <w:pPr>
              <w:rPr>
                <w:sz w:val="20"/>
                <w:szCs w:val="20"/>
              </w:rPr>
            </w:pPr>
            <w:r w:rsidRPr="00C7054C">
              <w:rPr>
                <w:sz w:val="20"/>
                <w:szCs w:val="20"/>
              </w:rPr>
              <w:t>Controlling Migration Project Manager</w:t>
            </w:r>
          </w:p>
        </w:tc>
        <w:tc>
          <w:tcPr>
            <w:tcW w:w="1701" w:type="dxa"/>
          </w:tcPr>
          <w:p w:rsidR="00F30422" w:rsidRPr="005F5CE7" w:rsidRDefault="00F30422" w:rsidP="00F30422">
            <w:pPr>
              <w:rPr>
                <w:sz w:val="20"/>
                <w:szCs w:val="20"/>
              </w:rPr>
            </w:pPr>
            <w:r w:rsidRPr="00C7054C">
              <w:rPr>
                <w:sz w:val="20"/>
                <w:szCs w:val="20"/>
              </w:rPr>
              <w:t>Refugee and Asylum Seeker Co-ordination Group</w:t>
            </w:r>
          </w:p>
        </w:tc>
      </w:tr>
    </w:tbl>
    <w:p w:rsidR="00B80168" w:rsidRDefault="00B80168" w:rsidP="00654F9B">
      <w:pPr>
        <w:rPr>
          <w:b/>
        </w:rPr>
        <w:sectPr w:rsidR="00B80168" w:rsidSect="00535572">
          <w:pgSz w:w="16838" w:h="11906" w:orient="landscape"/>
          <w:pgMar w:top="1440" w:right="1440" w:bottom="1440" w:left="1440" w:header="567" w:footer="708" w:gutter="0"/>
          <w:cols w:space="708"/>
          <w:docGrid w:linePitch="360"/>
        </w:sectPr>
      </w:pPr>
    </w:p>
    <w:p w:rsidR="00FB5A06" w:rsidRPr="00834020" w:rsidRDefault="00FB5A06" w:rsidP="00F30422">
      <w:pPr>
        <w:keepNext/>
        <w:keepLines/>
        <w:spacing w:before="200" w:after="0"/>
        <w:outlineLvl w:val="1"/>
        <w:rPr>
          <w:b/>
        </w:rPr>
      </w:pPr>
    </w:p>
    <w:sectPr w:rsidR="00FB5A06" w:rsidRPr="00834020" w:rsidSect="00FD11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E1" w:rsidRDefault="00E86DE1" w:rsidP="00384E2E">
      <w:pPr>
        <w:spacing w:after="0" w:line="240" w:lineRule="auto"/>
      </w:pPr>
      <w:r>
        <w:separator/>
      </w:r>
    </w:p>
  </w:endnote>
  <w:endnote w:type="continuationSeparator" w:id="0">
    <w:p w:rsidR="00E86DE1" w:rsidRDefault="00E86DE1" w:rsidP="0038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66" w:rsidRDefault="00101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55507"/>
      <w:docPartObj>
        <w:docPartGallery w:val="Page Numbers (Bottom of Page)"/>
        <w:docPartUnique/>
      </w:docPartObj>
    </w:sdtPr>
    <w:sdtEndPr>
      <w:rPr>
        <w:noProof/>
      </w:rPr>
    </w:sdtEndPr>
    <w:sdtContent>
      <w:p w:rsidR="00E86DE1" w:rsidRDefault="00E86DE1">
        <w:pPr>
          <w:pStyle w:val="Footer"/>
        </w:pPr>
        <w:r>
          <w:fldChar w:fldCharType="begin"/>
        </w:r>
        <w:r>
          <w:instrText xml:space="preserve"> PAGE   \* MERGEFORMAT </w:instrText>
        </w:r>
        <w:r>
          <w:fldChar w:fldCharType="separate"/>
        </w:r>
        <w:r w:rsidR="00101D66">
          <w:rPr>
            <w:noProof/>
          </w:rPr>
          <w:t>1</w:t>
        </w:r>
        <w:r>
          <w:rPr>
            <w:noProof/>
          </w:rPr>
          <w:fldChar w:fldCharType="end"/>
        </w:r>
      </w:p>
    </w:sdtContent>
  </w:sdt>
  <w:p w:rsidR="00E86DE1" w:rsidRDefault="00E86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66" w:rsidRDefault="00101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E1" w:rsidRDefault="00E86DE1" w:rsidP="00384E2E">
      <w:pPr>
        <w:spacing w:after="0" w:line="240" w:lineRule="auto"/>
      </w:pPr>
      <w:r>
        <w:separator/>
      </w:r>
    </w:p>
  </w:footnote>
  <w:footnote w:type="continuationSeparator" w:id="0">
    <w:p w:rsidR="00E86DE1" w:rsidRDefault="00E86DE1" w:rsidP="00384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66" w:rsidRDefault="00101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66" w:rsidRPr="00101D66" w:rsidRDefault="00101D66">
    <w:pPr>
      <w:pStyle w:val="Header"/>
    </w:pPr>
    <w:r>
      <w:tab/>
    </w:r>
    <w:r>
      <w:tab/>
    </w:r>
    <w:bookmarkStart w:id="0" w:name="_GoBack"/>
    <w:bookmarkEnd w:id="0"/>
    <w: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66" w:rsidRDefault="00101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F2F"/>
    <w:multiLevelType w:val="hybridMultilevel"/>
    <w:tmpl w:val="4ECA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F11E5"/>
    <w:multiLevelType w:val="hybridMultilevel"/>
    <w:tmpl w:val="3DCE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B3E4C"/>
    <w:multiLevelType w:val="hybridMultilevel"/>
    <w:tmpl w:val="6E1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F5539"/>
    <w:multiLevelType w:val="hybridMultilevel"/>
    <w:tmpl w:val="4B5C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8574D"/>
    <w:multiLevelType w:val="hybridMultilevel"/>
    <w:tmpl w:val="D246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63738"/>
    <w:multiLevelType w:val="hybridMultilevel"/>
    <w:tmpl w:val="621C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67DE7"/>
    <w:multiLevelType w:val="hybridMultilevel"/>
    <w:tmpl w:val="B94C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37CF0"/>
    <w:multiLevelType w:val="hybridMultilevel"/>
    <w:tmpl w:val="6128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917DB2"/>
    <w:multiLevelType w:val="hybridMultilevel"/>
    <w:tmpl w:val="BD1A4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379588A"/>
    <w:multiLevelType w:val="hybridMultilevel"/>
    <w:tmpl w:val="B9A6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BF2152"/>
    <w:multiLevelType w:val="hybridMultilevel"/>
    <w:tmpl w:val="C956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1B7486"/>
    <w:multiLevelType w:val="hybridMultilevel"/>
    <w:tmpl w:val="0AB0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11F86"/>
    <w:multiLevelType w:val="hybridMultilevel"/>
    <w:tmpl w:val="231E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3C4089"/>
    <w:multiLevelType w:val="hybridMultilevel"/>
    <w:tmpl w:val="F1D8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8B634E"/>
    <w:multiLevelType w:val="hybridMultilevel"/>
    <w:tmpl w:val="B18E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D319AF"/>
    <w:multiLevelType w:val="hybridMultilevel"/>
    <w:tmpl w:val="1066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B44C2D"/>
    <w:multiLevelType w:val="hybridMultilevel"/>
    <w:tmpl w:val="4C70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C82DD2"/>
    <w:multiLevelType w:val="hybridMultilevel"/>
    <w:tmpl w:val="3F16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5E03A3"/>
    <w:multiLevelType w:val="hybridMultilevel"/>
    <w:tmpl w:val="833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7622BE"/>
    <w:multiLevelType w:val="hybridMultilevel"/>
    <w:tmpl w:val="8F6C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5F1B5F"/>
    <w:multiLevelType w:val="hybridMultilevel"/>
    <w:tmpl w:val="7870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6725AC"/>
    <w:multiLevelType w:val="hybridMultilevel"/>
    <w:tmpl w:val="EB90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C75776"/>
    <w:multiLevelType w:val="hybridMultilevel"/>
    <w:tmpl w:val="29D6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E074CC"/>
    <w:multiLevelType w:val="hybridMultilevel"/>
    <w:tmpl w:val="2882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583BEA"/>
    <w:multiLevelType w:val="hybridMultilevel"/>
    <w:tmpl w:val="2404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204165"/>
    <w:multiLevelType w:val="hybridMultilevel"/>
    <w:tmpl w:val="EE78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875FD8"/>
    <w:multiLevelType w:val="hybridMultilevel"/>
    <w:tmpl w:val="662A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F73493"/>
    <w:multiLevelType w:val="hybridMultilevel"/>
    <w:tmpl w:val="63BE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6"/>
  </w:num>
  <w:num w:numId="4">
    <w:abstractNumId w:val="15"/>
  </w:num>
  <w:num w:numId="5">
    <w:abstractNumId w:val="2"/>
  </w:num>
  <w:num w:numId="6">
    <w:abstractNumId w:val="19"/>
  </w:num>
  <w:num w:numId="7">
    <w:abstractNumId w:val="7"/>
  </w:num>
  <w:num w:numId="8">
    <w:abstractNumId w:val="16"/>
  </w:num>
  <w:num w:numId="9">
    <w:abstractNumId w:val="12"/>
  </w:num>
  <w:num w:numId="10">
    <w:abstractNumId w:val="24"/>
  </w:num>
  <w:num w:numId="11">
    <w:abstractNumId w:val="9"/>
  </w:num>
  <w:num w:numId="12">
    <w:abstractNumId w:val="23"/>
  </w:num>
  <w:num w:numId="13">
    <w:abstractNumId w:val="17"/>
  </w:num>
  <w:num w:numId="14">
    <w:abstractNumId w:val="21"/>
  </w:num>
  <w:num w:numId="15">
    <w:abstractNumId w:val="0"/>
  </w:num>
  <w:num w:numId="16">
    <w:abstractNumId w:val="22"/>
  </w:num>
  <w:num w:numId="17">
    <w:abstractNumId w:val="10"/>
  </w:num>
  <w:num w:numId="18">
    <w:abstractNumId w:val="4"/>
  </w:num>
  <w:num w:numId="19">
    <w:abstractNumId w:val="27"/>
  </w:num>
  <w:num w:numId="20">
    <w:abstractNumId w:val="14"/>
  </w:num>
  <w:num w:numId="21">
    <w:abstractNumId w:val="3"/>
  </w:num>
  <w:num w:numId="22">
    <w:abstractNumId w:val="8"/>
  </w:num>
  <w:num w:numId="23">
    <w:abstractNumId w:val="11"/>
  </w:num>
  <w:num w:numId="24">
    <w:abstractNumId w:val="5"/>
  </w:num>
  <w:num w:numId="25">
    <w:abstractNumId w:val="20"/>
  </w:num>
  <w:num w:numId="26">
    <w:abstractNumId w:val="1"/>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F5"/>
    <w:rsid w:val="0000549A"/>
    <w:rsid w:val="00025EC6"/>
    <w:rsid w:val="000273E5"/>
    <w:rsid w:val="0003166D"/>
    <w:rsid w:val="00041D43"/>
    <w:rsid w:val="000454D4"/>
    <w:rsid w:val="0005251D"/>
    <w:rsid w:val="00061B37"/>
    <w:rsid w:val="000645DF"/>
    <w:rsid w:val="000A2F87"/>
    <w:rsid w:val="000D08F0"/>
    <w:rsid w:val="000D66F5"/>
    <w:rsid w:val="000E7DF3"/>
    <w:rsid w:val="000F31D7"/>
    <w:rsid w:val="00101D66"/>
    <w:rsid w:val="00123E3D"/>
    <w:rsid w:val="00157877"/>
    <w:rsid w:val="001620E5"/>
    <w:rsid w:val="001D1575"/>
    <w:rsid w:val="001D598F"/>
    <w:rsid w:val="001E60E9"/>
    <w:rsid w:val="002050ED"/>
    <w:rsid w:val="0021401F"/>
    <w:rsid w:val="002351AB"/>
    <w:rsid w:val="00271649"/>
    <w:rsid w:val="00277F75"/>
    <w:rsid w:val="00286EE4"/>
    <w:rsid w:val="002C2C84"/>
    <w:rsid w:val="003265EE"/>
    <w:rsid w:val="00343F6E"/>
    <w:rsid w:val="00361E07"/>
    <w:rsid w:val="00384E2E"/>
    <w:rsid w:val="003C1789"/>
    <w:rsid w:val="003D5DD4"/>
    <w:rsid w:val="003E48F7"/>
    <w:rsid w:val="00404C42"/>
    <w:rsid w:val="00436639"/>
    <w:rsid w:val="004A1F61"/>
    <w:rsid w:val="004A2F98"/>
    <w:rsid w:val="004A6AB0"/>
    <w:rsid w:val="004B2504"/>
    <w:rsid w:val="005161A9"/>
    <w:rsid w:val="0053028B"/>
    <w:rsid w:val="00535572"/>
    <w:rsid w:val="005570C6"/>
    <w:rsid w:val="00586E83"/>
    <w:rsid w:val="005C04D0"/>
    <w:rsid w:val="005F522E"/>
    <w:rsid w:val="005F5CE7"/>
    <w:rsid w:val="0064128A"/>
    <w:rsid w:val="00647C7F"/>
    <w:rsid w:val="00654F9B"/>
    <w:rsid w:val="006666FC"/>
    <w:rsid w:val="006B5923"/>
    <w:rsid w:val="00736568"/>
    <w:rsid w:val="007506F1"/>
    <w:rsid w:val="00766481"/>
    <w:rsid w:val="00790884"/>
    <w:rsid w:val="007A2A0C"/>
    <w:rsid w:val="00834020"/>
    <w:rsid w:val="00860FFD"/>
    <w:rsid w:val="00872469"/>
    <w:rsid w:val="00897921"/>
    <w:rsid w:val="008B1C49"/>
    <w:rsid w:val="008C69DE"/>
    <w:rsid w:val="00900987"/>
    <w:rsid w:val="00905462"/>
    <w:rsid w:val="00910E44"/>
    <w:rsid w:val="009370AD"/>
    <w:rsid w:val="009575D2"/>
    <w:rsid w:val="009701A0"/>
    <w:rsid w:val="009A0555"/>
    <w:rsid w:val="009A7BB9"/>
    <w:rsid w:val="009F53FB"/>
    <w:rsid w:val="009F5C4D"/>
    <w:rsid w:val="00A22B07"/>
    <w:rsid w:val="00A55BD7"/>
    <w:rsid w:val="00A7176A"/>
    <w:rsid w:val="00A75E66"/>
    <w:rsid w:val="00A81D18"/>
    <w:rsid w:val="00AD623D"/>
    <w:rsid w:val="00B357ED"/>
    <w:rsid w:val="00B77302"/>
    <w:rsid w:val="00B80168"/>
    <w:rsid w:val="00BA185E"/>
    <w:rsid w:val="00BB10C7"/>
    <w:rsid w:val="00BC15E1"/>
    <w:rsid w:val="00BC6774"/>
    <w:rsid w:val="00BD0BE9"/>
    <w:rsid w:val="00BF6C84"/>
    <w:rsid w:val="00C04BED"/>
    <w:rsid w:val="00C27771"/>
    <w:rsid w:val="00C438BA"/>
    <w:rsid w:val="00C7054C"/>
    <w:rsid w:val="00C85AFF"/>
    <w:rsid w:val="00C97921"/>
    <w:rsid w:val="00CF3E8D"/>
    <w:rsid w:val="00CF5B8E"/>
    <w:rsid w:val="00D479A7"/>
    <w:rsid w:val="00D47DC5"/>
    <w:rsid w:val="00DA2C72"/>
    <w:rsid w:val="00DC416F"/>
    <w:rsid w:val="00DF5D33"/>
    <w:rsid w:val="00E33BF5"/>
    <w:rsid w:val="00E859D3"/>
    <w:rsid w:val="00E86DE1"/>
    <w:rsid w:val="00EA1C10"/>
    <w:rsid w:val="00EB4BB8"/>
    <w:rsid w:val="00EC4FB7"/>
    <w:rsid w:val="00ED29BC"/>
    <w:rsid w:val="00EF5BCD"/>
    <w:rsid w:val="00F30422"/>
    <w:rsid w:val="00F4509F"/>
    <w:rsid w:val="00F746B6"/>
    <w:rsid w:val="00F95F91"/>
    <w:rsid w:val="00FB5A06"/>
    <w:rsid w:val="00FC024A"/>
    <w:rsid w:val="00FD119E"/>
    <w:rsid w:val="00FD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8F0"/>
    <w:pPr>
      <w:spacing w:after="0" w:line="240" w:lineRule="auto"/>
    </w:pPr>
  </w:style>
  <w:style w:type="character" w:styleId="CommentReference">
    <w:name w:val="annotation reference"/>
    <w:basedOn w:val="DefaultParagraphFont"/>
    <w:uiPriority w:val="99"/>
    <w:semiHidden/>
    <w:unhideWhenUsed/>
    <w:rsid w:val="005570C6"/>
    <w:rPr>
      <w:sz w:val="16"/>
      <w:szCs w:val="16"/>
    </w:rPr>
  </w:style>
  <w:style w:type="paragraph" w:styleId="CommentText">
    <w:name w:val="annotation text"/>
    <w:basedOn w:val="Normal"/>
    <w:link w:val="CommentTextChar"/>
    <w:uiPriority w:val="99"/>
    <w:semiHidden/>
    <w:unhideWhenUsed/>
    <w:rsid w:val="005570C6"/>
    <w:pPr>
      <w:spacing w:line="240" w:lineRule="auto"/>
    </w:pPr>
    <w:rPr>
      <w:sz w:val="20"/>
      <w:szCs w:val="20"/>
    </w:rPr>
  </w:style>
  <w:style w:type="character" w:customStyle="1" w:styleId="CommentTextChar">
    <w:name w:val="Comment Text Char"/>
    <w:basedOn w:val="DefaultParagraphFont"/>
    <w:link w:val="CommentText"/>
    <w:uiPriority w:val="99"/>
    <w:semiHidden/>
    <w:rsid w:val="005570C6"/>
    <w:rPr>
      <w:sz w:val="20"/>
      <w:szCs w:val="20"/>
    </w:rPr>
  </w:style>
  <w:style w:type="paragraph" w:styleId="CommentSubject">
    <w:name w:val="annotation subject"/>
    <w:basedOn w:val="CommentText"/>
    <w:next w:val="CommentText"/>
    <w:link w:val="CommentSubjectChar"/>
    <w:uiPriority w:val="99"/>
    <w:semiHidden/>
    <w:unhideWhenUsed/>
    <w:rsid w:val="005570C6"/>
    <w:rPr>
      <w:b/>
      <w:bCs/>
    </w:rPr>
  </w:style>
  <w:style w:type="character" w:customStyle="1" w:styleId="CommentSubjectChar">
    <w:name w:val="Comment Subject Char"/>
    <w:basedOn w:val="CommentTextChar"/>
    <w:link w:val="CommentSubject"/>
    <w:uiPriority w:val="99"/>
    <w:semiHidden/>
    <w:rsid w:val="005570C6"/>
    <w:rPr>
      <w:b/>
      <w:bCs/>
      <w:sz w:val="20"/>
      <w:szCs w:val="20"/>
    </w:rPr>
  </w:style>
  <w:style w:type="paragraph" w:styleId="BalloonText">
    <w:name w:val="Balloon Text"/>
    <w:basedOn w:val="Normal"/>
    <w:link w:val="BalloonTextChar"/>
    <w:uiPriority w:val="99"/>
    <w:semiHidden/>
    <w:unhideWhenUsed/>
    <w:rsid w:val="0055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C6"/>
    <w:rPr>
      <w:rFonts w:ascii="Tahoma" w:hAnsi="Tahoma" w:cs="Tahoma"/>
      <w:sz w:val="16"/>
      <w:szCs w:val="16"/>
    </w:rPr>
  </w:style>
  <w:style w:type="paragraph" w:customStyle="1" w:styleId="Default">
    <w:name w:val="Default"/>
    <w:rsid w:val="00790884"/>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384E2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E2E"/>
  </w:style>
  <w:style w:type="paragraph" w:styleId="Footer">
    <w:name w:val="footer"/>
    <w:basedOn w:val="Normal"/>
    <w:link w:val="FooterChar"/>
    <w:uiPriority w:val="99"/>
    <w:unhideWhenUsed/>
    <w:rsid w:val="00384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8F0"/>
    <w:pPr>
      <w:spacing w:after="0" w:line="240" w:lineRule="auto"/>
    </w:pPr>
  </w:style>
  <w:style w:type="character" w:styleId="CommentReference">
    <w:name w:val="annotation reference"/>
    <w:basedOn w:val="DefaultParagraphFont"/>
    <w:uiPriority w:val="99"/>
    <w:semiHidden/>
    <w:unhideWhenUsed/>
    <w:rsid w:val="005570C6"/>
    <w:rPr>
      <w:sz w:val="16"/>
      <w:szCs w:val="16"/>
    </w:rPr>
  </w:style>
  <w:style w:type="paragraph" w:styleId="CommentText">
    <w:name w:val="annotation text"/>
    <w:basedOn w:val="Normal"/>
    <w:link w:val="CommentTextChar"/>
    <w:uiPriority w:val="99"/>
    <w:semiHidden/>
    <w:unhideWhenUsed/>
    <w:rsid w:val="005570C6"/>
    <w:pPr>
      <w:spacing w:line="240" w:lineRule="auto"/>
    </w:pPr>
    <w:rPr>
      <w:sz w:val="20"/>
      <w:szCs w:val="20"/>
    </w:rPr>
  </w:style>
  <w:style w:type="character" w:customStyle="1" w:styleId="CommentTextChar">
    <w:name w:val="Comment Text Char"/>
    <w:basedOn w:val="DefaultParagraphFont"/>
    <w:link w:val="CommentText"/>
    <w:uiPriority w:val="99"/>
    <w:semiHidden/>
    <w:rsid w:val="005570C6"/>
    <w:rPr>
      <w:sz w:val="20"/>
      <w:szCs w:val="20"/>
    </w:rPr>
  </w:style>
  <w:style w:type="paragraph" w:styleId="CommentSubject">
    <w:name w:val="annotation subject"/>
    <w:basedOn w:val="CommentText"/>
    <w:next w:val="CommentText"/>
    <w:link w:val="CommentSubjectChar"/>
    <w:uiPriority w:val="99"/>
    <w:semiHidden/>
    <w:unhideWhenUsed/>
    <w:rsid w:val="005570C6"/>
    <w:rPr>
      <w:b/>
      <w:bCs/>
    </w:rPr>
  </w:style>
  <w:style w:type="character" w:customStyle="1" w:styleId="CommentSubjectChar">
    <w:name w:val="Comment Subject Char"/>
    <w:basedOn w:val="CommentTextChar"/>
    <w:link w:val="CommentSubject"/>
    <w:uiPriority w:val="99"/>
    <w:semiHidden/>
    <w:rsid w:val="005570C6"/>
    <w:rPr>
      <w:b/>
      <w:bCs/>
      <w:sz w:val="20"/>
      <w:szCs w:val="20"/>
    </w:rPr>
  </w:style>
  <w:style w:type="paragraph" w:styleId="BalloonText">
    <w:name w:val="Balloon Text"/>
    <w:basedOn w:val="Normal"/>
    <w:link w:val="BalloonTextChar"/>
    <w:uiPriority w:val="99"/>
    <w:semiHidden/>
    <w:unhideWhenUsed/>
    <w:rsid w:val="0055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C6"/>
    <w:rPr>
      <w:rFonts w:ascii="Tahoma" w:hAnsi="Tahoma" w:cs="Tahoma"/>
      <w:sz w:val="16"/>
      <w:szCs w:val="16"/>
    </w:rPr>
  </w:style>
  <w:style w:type="paragraph" w:customStyle="1" w:styleId="Default">
    <w:name w:val="Default"/>
    <w:rsid w:val="00790884"/>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384E2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E2E"/>
  </w:style>
  <w:style w:type="paragraph" w:styleId="Footer">
    <w:name w:val="footer"/>
    <w:basedOn w:val="Normal"/>
    <w:link w:val="FooterChar"/>
    <w:uiPriority w:val="99"/>
    <w:unhideWhenUsed/>
    <w:rsid w:val="00384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EC84-A197-4C97-A3A6-5A6D3CC3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2953EEB7</Template>
  <TotalTime>4</TotalTime>
  <Pages>18</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JMitchell</cp:lastModifiedBy>
  <cp:revision>4</cp:revision>
  <dcterms:created xsi:type="dcterms:W3CDTF">2017-10-02T07:47:00Z</dcterms:created>
  <dcterms:modified xsi:type="dcterms:W3CDTF">2017-10-02T09:01:00Z</dcterms:modified>
</cp:coreProperties>
</file>